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681F" w14:textId="77777777" w:rsidR="00C469BD" w:rsidRDefault="00C469BD" w:rsidP="00C469BD">
      <w:pPr>
        <w:spacing w:line="307" w:lineRule="exact"/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C469BD" w14:paraId="33CAF9C9" w14:textId="77777777" w:rsidTr="00C469BD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5C01" w14:textId="581CDB9F" w:rsidR="00C469BD" w:rsidRDefault="00C469BD" w:rsidP="00A97731">
            <w:pPr>
              <w:spacing w:before="100" w:line="276" w:lineRule="auto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14:paraId="06FE1874" w14:textId="77777777" w:rsidR="00A97731" w:rsidRDefault="00A97731" w:rsidP="00D83F23">
            <w:pPr>
              <w:spacing w:line="307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25808581" w14:textId="035C4CE1" w:rsidR="00D83F23" w:rsidRPr="00DA3896" w:rsidRDefault="00D83F23" w:rsidP="00D83F23">
            <w:pPr>
              <w:spacing w:line="307" w:lineRule="exact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A3896">
              <w:rPr>
                <w:rFonts w:ascii="Arial" w:hAnsi="Arial" w:cs="Arial"/>
                <w:b/>
                <w:bCs/>
                <w:color w:val="0000FF"/>
              </w:rPr>
              <w:t>PRACTICE TIP</w:t>
            </w:r>
          </w:p>
          <w:p w14:paraId="7D78E13C" w14:textId="2165C065" w:rsidR="006249AB" w:rsidRPr="00DA3896" w:rsidRDefault="006249AB" w:rsidP="00A97731">
            <w:pPr>
              <w:spacing w:line="276" w:lineRule="auto"/>
              <w:rPr>
                <w:rFonts w:ascii="Arial" w:hAnsi="Arial" w:cs="Arial"/>
                <w:color w:val="0000FF"/>
              </w:rPr>
            </w:pPr>
          </w:p>
          <w:p w14:paraId="329407E0" w14:textId="7E3EE806" w:rsidR="006249AB" w:rsidRPr="00DA3896" w:rsidRDefault="006249AB" w:rsidP="006249AB">
            <w:pPr>
              <w:rPr>
                <w:rFonts w:ascii="Arial" w:hAnsi="Arial" w:cs="Arial"/>
                <w:color w:val="0000FF"/>
              </w:rPr>
            </w:pPr>
            <w:r w:rsidRPr="00DA3896">
              <w:rPr>
                <w:rFonts w:ascii="Arial" w:hAnsi="Arial" w:cs="Arial"/>
                <w:b/>
                <w:bCs/>
                <w:color w:val="0000FF"/>
              </w:rPr>
              <w:t>Manual Guidance:</w:t>
            </w:r>
            <w:r w:rsidRPr="00DA3896">
              <w:rPr>
                <w:rFonts w:ascii="Arial" w:hAnsi="Arial" w:cs="Arial"/>
                <w:color w:val="0000FF"/>
              </w:rPr>
              <w:t xml:space="preserve"> See chapter 1 of the </w:t>
            </w:r>
            <w:hyperlink r:id="rId6" w:history="1">
              <w:r w:rsidRPr="00DA3896">
                <w:rPr>
                  <w:rFonts w:ascii="Arial" w:hAnsi="Arial" w:cs="Arial"/>
                  <w:color w:val="0000FF"/>
                  <w:u w:val="single"/>
                </w:rPr>
                <w:t>ADI Appellate Practice Manual</w:t>
              </w:r>
              <w:r w:rsidRPr="00DA3896">
                <w:rPr>
                  <w:color w:val="0000FF"/>
                </w:rPr>
                <w:t xml:space="preserve"> </w:t>
              </w:r>
            </w:hyperlink>
            <w:r w:rsidRPr="00DA3896">
              <w:rPr>
                <w:rFonts w:ascii="Arial" w:hAnsi="Arial" w:cs="Arial"/>
                <w:color w:val="0000FF"/>
              </w:rPr>
              <w:t>at § 1.33A and § II.B.</w:t>
            </w:r>
            <w:r w:rsidR="007721DD" w:rsidRPr="00DA3896">
              <w:rPr>
                <w:rFonts w:ascii="Arial" w:hAnsi="Arial" w:cs="Arial"/>
                <w:color w:val="0000FF"/>
              </w:rPr>
              <w:t>4</w:t>
            </w:r>
            <w:r w:rsidRPr="00DA3896">
              <w:rPr>
                <w:rFonts w:ascii="Arial" w:hAnsi="Arial" w:cs="Arial"/>
                <w:color w:val="0000FF"/>
              </w:rPr>
              <w:t xml:space="preserve">. of </w:t>
            </w:r>
            <w:hyperlink r:id="rId7" w:history="1">
              <w:proofErr w:type="spellStart"/>
              <w:r w:rsidRPr="00DA3896">
                <w:rPr>
                  <w:rStyle w:val="Hyperlink"/>
                  <w:rFonts w:ascii="Arial" w:hAnsi="Arial" w:cs="Arial"/>
                  <w:color w:val="0000FF"/>
                </w:rPr>
                <w:t>ADI’s</w:t>
              </w:r>
              <w:proofErr w:type="spellEnd"/>
              <w:r w:rsidRPr="00DA3896">
                <w:rPr>
                  <w:rStyle w:val="Hyperlink"/>
                  <w:rFonts w:ascii="Arial" w:hAnsi="Arial" w:cs="Arial"/>
                  <w:color w:val="0000FF"/>
                </w:rPr>
                <w:t xml:space="preserve"> Guide to Motion Practice</w:t>
              </w:r>
            </w:hyperlink>
            <w:r w:rsidRPr="00DA3896">
              <w:rPr>
                <w:rFonts w:ascii="Arial" w:hAnsi="Arial" w:cs="Arial"/>
                <w:color w:val="0000FF"/>
              </w:rPr>
              <w:t>, found under APPELLATE PRACTICE</w:t>
            </w:r>
            <w:r w:rsidR="00DA3896" w:rsidRPr="00DA3896">
              <w:rPr>
                <w:rFonts w:ascii="Arial" w:hAnsi="Arial" w:cs="Arial"/>
                <w:color w:val="0000FF"/>
              </w:rPr>
              <w:t>&lt;</w:t>
            </w:r>
            <w:r w:rsidRPr="00DA3896">
              <w:rPr>
                <w:rFonts w:ascii="Arial" w:hAnsi="Arial" w:cs="Arial"/>
                <w:color w:val="0000FF"/>
              </w:rPr>
              <w:t>Nuts and Bolts of Panel Practice.</w:t>
            </w:r>
          </w:p>
          <w:p w14:paraId="73FEDB16" w14:textId="77777777" w:rsidR="006249AB" w:rsidRPr="00DA3896" w:rsidRDefault="006249AB" w:rsidP="006249AB">
            <w:pPr>
              <w:rPr>
                <w:i/>
                <w:iCs/>
                <w:color w:val="0000FF"/>
                <w:sz w:val="26"/>
                <w:szCs w:val="26"/>
              </w:rPr>
            </w:pPr>
          </w:p>
          <w:p w14:paraId="29977E09" w14:textId="77777777" w:rsidR="00C469BD" w:rsidRDefault="00C469BD" w:rsidP="006249AB">
            <w:pPr>
              <w:spacing w:line="276" w:lineRule="auto"/>
            </w:pPr>
          </w:p>
        </w:tc>
      </w:tr>
    </w:tbl>
    <w:p w14:paraId="0CDD57AF" w14:textId="5CFCC86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68A10312" w14:textId="03FFABED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0273432C" w14:textId="1AE49892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EBDEB9D" w14:textId="6704B6F5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3AEBB570" w14:textId="7F9C5AC2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C52B2D9" w14:textId="7BA3F7BC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5C63DD62" w14:textId="7E30DCA1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338CF923" w14:textId="423E75E0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713CFB1F" w14:textId="4B7AD1EB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1D3EF60" w14:textId="7A9308E4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75C91CEB" w14:textId="3F675A95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7B0ADFAA" w14:textId="6B337F48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31A6D72E" w14:textId="6899DA72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715E4657" w14:textId="48BD6C45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5EF65DD" w14:textId="6C239E1B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D75754F" w14:textId="0E222926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F915B4A" w14:textId="16680079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EE6EC96" w14:textId="6C0F0D08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1873E43E" w14:textId="3107ED93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1831EC15" w14:textId="4E3AA6A3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3B17A038" w14:textId="146A587E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ED18C93" w14:textId="580AC316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FEAFB1C" w14:textId="64B02C06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5595CDA0" w14:textId="6EFE5F18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F93121B" w14:textId="382A6F59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EFE857E" w14:textId="15541CA6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56DBD908" w14:textId="4B21E1BF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6DDE2E0E" w14:textId="7F99CED6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4AA0DC68" w14:textId="18345494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A9D8098" w14:textId="775AFDFD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285AC83" w14:textId="77777777" w:rsidR="00A97731" w:rsidRDefault="00A97731" w:rsidP="00C469BD">
      <w:pPr>
        <w:spacing w:line="307" w:lineRule="exact"/>
        <w:rPr>
          <w:i/>
          <w:iCs/>
          <w:color w:val="0000FF"/>
          <w:sz w:val="26"/>
          <w:szCs w:val="26"/>
        </w:rPr>
      </w:pPr>
    </w:p>
    <w:p w14:paraId="227988E0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name, bar number]</w:t>
      </w:r>
    </w:p>
    <w:p w14:paraId="2B84CAF9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 and telephone number]</w:t>
      </w:r>
    </w:p>
    <w:p w14:paraId="206B84E1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[Email address and fax number if available]</w:t>
      </w:r>
    </w:p>
    <w:p w14:paraId="57D57E15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14:paraId="3452DD5F" w14:textId="77777777" w:rsidR="00C469BD" w:rsidRDefault="00C469BD" w:rsidP="00C469BD">
      <w:pPr>
        <w:spacing w:line="307" w:lineRule="exact"/>
        <w:ind w:left="2880"/>
        <w:rPr>
          <w:sz w:val="26"/>
          <w:szCs w:val="26"/>
        </w:rPr>
      </w:pPr>
    </w:p>
    <w:p w14:paraId="6A035502" w14:textId="77777777" w:rsidR="00C469BD" w:rsidRDefault="00C469BD" w:rsidP="00C469BD">
      <w:pPr>
        <w:spacing w:line="307" w:lineRule="exact"/>
        <w:ind w:left="2880"/>
        <w:rPr>
          <w:sz w:val="26"/>
          <w:szCs w:val="26"/>
        </w:rPr>
        <w:sectPr w:rsidR="00C469BD" w:rsidSect="00C469BD">
          <w:footerReference w:type="default" r:id="rId8"/>
          <w:footerReference w:type="first" r:id="rId9"/>
          <w:pgSz w:w="12240" w:h="15840"/>
          <w:pgMar w:top="1440" w:right="2160" w:bottom="1440" w:left="2160" w:header="1133" w:footer="1440" w:gutter="0"/>
          <w:cols w:space="720"/>
          <w:titlePg/>
        </w:sectPr>
      </w:pPr>
    </w:p>
    <w:p w14:paraId="1CE12337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COURT OF APPEAL OF THE STATE OF CALIFORNIA</w:t>
      </w:r>
    </w:p>
    <w:p w14:paraId="0410C7A1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</w:p>
    <w:p w14:paraId="12C72C61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FOURTH APPELLATE DISTRICT</w:t>
      </w:r>
    </w:p>
    <w:p w14:paraId="7DFE4440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</w:p>
    <w:p w14:paraId="1E8D423D" w14:textId="3815D599" w:rsidR="00C469BD" w:rsidRDefault="00C469BD" w:rsidP="00C469BD">
      <w:pPr>
        <w:spacing w:line="307" w:lineRule="exact"/>
        <w:jc w:val="center"/>
        <w:rPr>
          <w:b/>
          <w:bCs/>
          <w:i/>
          <w:i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14:paraId="2E20B6E9" w14:textId="77777777" w:rsidR="00DA3896" w:rsidRDefault="00DA3896" w:rsidP="00C469BD">
      <w:pPr>
        <w:spacing w:line="307" w:lineRule="exact"/>
        <w:jc w:val="center"/>
        <w:rPr>
          <w:i/>
          <w:iCs/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C469BD" w14:paraId="547D026E" w14:textId="77777777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32E2B9" w14:textId="77777777" w:rsidR="00C469BD" w:rsidRDefault="00C469BD">
            <w:pPr>
              <w:spacing w:before="120"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14:paraId="37308E67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14:paraId="5CD3CBED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</w:p>
          <w:p w14:paraId="44431A04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14:paraId="5D49D9E7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</w:p>
          <w:p w14:paraId="75395393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sz w:val="26"/>
                <w:szCs w:val="26"/>
              </w:rPr>
              <w:t>,</w:t>
            </w:r>
          </w:p>
          <w:p w14:paraId="33481461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14:paraId="6F42AF51" w14:textId="77777777" w:rsidR="00C469BD" w:rsidRDefault="00C469BD">
            <w:pPr>
              <w:spacing w:after="38" w:line="307" w:lineRule="exac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4CADB6" w14:textId="77777777" w:rsidR="00C469BD" w:rsidRDefault="00C469BD">
            <w:pPr>
              <w:spacing w:before="120" w:line="307" w:lineRule="exact"/>
              <w:rPr>
                <w:sz w:val="26"/>
                <w:szCs w:val="26"/>
              </w:rPr>
            </w:pPr>
          </w:p>
          <w:p w14:paraId="54B0FF8D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14:paraId="2548955F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6C972C7C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</w:p>
          <w:p w14:paraId="7E927C1E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</w:p>
          <w:p w14:paraId="54B07A77" w14:textId="77777777" w:rsidR="00C469BD" w:rsidRDefault="00C469BD">
            <w:pPr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14:paraId="115712E8" w14:textId="77777777" w:rsidR="00C469BD" w:rsidRDefault="00C469BD">
            <w:pPr>
              <w:spacing w:after="38"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Nos.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</w:tc>
      </w:tr>
    </w:tbl>
    <w:p w14:paraId="5AD31FFC" w14:textId="77777777" w:rsidR="00C469BD" w:rsidRDefault="00C469BD" w:rsidP="00C469BD">
      <w:pPr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7EE135" w14:textId="77777777" w:rsidR="00C469BD" w:rsidRDefault="00C469BD" w:rsidP="00C469BD">
      <w:pPr>
        <w:spacing w:line="307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APPEAL FROM THE SUPERIOR COURT OF</w:t>
      </w:r>
      <w:r>
        <w:rPr>
          <w:b/>
          <w:bCs/>
          <w:i/>
          <w:iCs/>
          <w:color w:val="0000FF"/>
          <w:sz w:val="26"/>
          <w:szCs w:val="26"/>
        </w:rPr>
        <w:t xml:space="preserve"> [NAME]</w:t>
      </w:r>
      <w:r>
        <w:rPr>
          <w:b/>
          <w:bCs/>
          <w:sz w:val="26"/>
          <w:szCs w:val="26"/>
        </w:rPr>
        <w:t xml:space="preserve"> COUNTY</w:t>
      </w:r>
    </w:p>
    <w:p w14:paraId="4E92A637" w14:textId="77777777" w:rsidR="00C469BD" w:rsidRDefault="00C469BD" w:rsidP="00C469BD">
      <w:pPr>
        <w:spacing w:line="307" w:lineRule="exact"/>
        <w:jc w:val="center"/>
        <w:rPr>
          <w:sz w:val="26"/>
          <w:szCs w:val="26"/>
        </w:rPr>
      </w:pPr>
    </w:p>
    <w:p w14:paraId="6AFF5E79" w14:textId="77777777" w:rsidR="00C469BD" w:rsidRDefault="00C469BD" w:rsidP="00C469BD">
      <w:pPr>
        <w:spacing w:line="307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Honorable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14:paraId="61D847A2" w14:textId="77777777" w:rsidR="00C469BD" w:rsidRDefault="00C469BD" w:rsidP="00C469BD">
      <w:pPr>
        <w:spacing w:line="307" w:lineRule="exact"/>
        <w:jc w:val="center"/>
        <w:rPr>
          <w:sz w:val="26"/>
          <w:szCs w:val="26"/>
        </w:rPr>
      </w:pPr>
    </w:p>
    <w:p w14:paraId="4140FF79" w14:textId="1B619CD8" w:rsidR="00C469BD" w:rsidRDefault="003131AD" w:rsidP="00C469BD">
      <w:pPr>
        <w:spacing w:line="2" w:lineRule="exac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2832FB" wp14:editId="605E43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1430" r="952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283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389AF4" wp14:editId="2817D189">
                <wp:simplePos x="0" y="0"/>
                <wp:positionH relativeFrom="margin">
                  <wp:posOffset>457200</wp:posOffset>
                </wp:positionH>
                <wp:positionV relativeFrom="paragraph">
                  <wp:posOffset>5715</wp:posOffset>
                </wp:positionV>
                <wp:extent cx="4114800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1B2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pt,.45pt" to="5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759594D4" w14:textId="77777777" w:rsidR="00C469BD" w:rsidRDefault="00C469BD" w:rsidP="00C469BD">
      <w:pPr>
        <w:spacing w:line="307" w:lineRule="exact"/>
        <w:ind w:left="1440" w:right="1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DEFENDANT’S MOTION TO STAY APPEAL IN CASE NUMBER </w:t>
      </w:r>
      <w:r>
        <w:rPr>
          <w:b/>
          <w:bCs/>
          <w:i/>
          <w:iCs/>
          <w:color w:val="0000FF"/>
          <w:sz w:val="26"/>
          <w:szCs w:val="26"/>
        </w:rPr>
        <w:t>[NUMBER]</w:t>
      </w:r>
      <w:r>
        <w:rPr>
          <w:b/>
          <w:bCs/>
          <w:sz w:val="26"/>
          <w:szCs w:val="26"/>
        </w:rPr>
        <w:t>, PENDING</w:t>
      </w:r>
      <w:r>
        <w:rPr>
          <w:sz w:val="26"/>
          <w:szCs w:val="26"/>
        </w:rPr>
        <w:t xml:space="preserve"> </w:t>
      </w:r>
      <w:r>
        <w:rPr>
          <w:b/>
          <w:bCs/>
          <w:i/>
          <w:iCs/>
          <w:color w:val="0000FF"/>
          <w:sz w:val="26"/>
          <w:szCs w:val="26"/>
        </w:rPr>
        <w:t>[PROCEEDING]</w:t>
      </w:r>
    </w:p>
    <w:p w14:paraId="067B7AFC" w14:textId="5F07EBCB" w:rsidR="00C469BD" w:rsidRDefault="003131AD" w:rsidP="00C469BD">
      <w:pPr>
        <w:spacing w:line="2" w:lineRule="exac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9D5F53" wp14:editId="54370D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9A0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5EE771" wp14:editId="1F5CFB1E">
                <wp:simplePos x="0" y="0"/>
                <wp:positionH relativeFrom="margin">
                  <wp:posOffset>457200</wp:posOffset>
                </wp:positionH>
                <wp:positionV relativeFrom="paragraph">
                  <wp:posOffset>5715</wp:posOffset>
                </wp:positionV>
                <wp:extent cx="41148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421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pt,.45pt" to="5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4A29D3AA" w14:textId="77777777" w:rsidR="00C469BD" w:rsidRDefault="00C469BD" w:rsidP="00C469BD">
      <w:pPr>
        <w:spacing w:line="307" w:lineRule="exact"/>
        <w:jc w:val="center"/>
        <w:rPr>
          <w:sz w:val="26"/>
          <w:szCs w:val="26"/>
        </w:rPr>
      </w:pPr>
    </w:p>
    <w:p w14:paraId="41A9EA7D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2E958D0F" w14:textId="77777777" w:rsidR="00C469BD" w:rsidRDefault="00C469BD" w:rsidP="00C469BD">
      <w:pPr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 xml:space="preserve">TO THE 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, PRESIDING JUSTICE, AND TO THE HONORABLE ASSOCIATE JUSTICES OF THE COURT OF APPEAL OF THE STATE OF CALIFORNIA, FOURTH APPELLATE DISTRICT, DIVISION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>:</w:t>
      </w:r>
    </w:p>
    <w:p w14:paraId="3A515583" w14:textId="77777777" w:rsidR="00C469BD" w:rsidRDefault="00C469BD" w:rsidP="00C469BD">
      <w:pPr>
        <w:spacing w:line="614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Defendant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 respectfully requests that the appeal from the judgment rendered in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 xml:space="preserve"> County Superior Court, Court of Appeal case </w:t>
      </w:r>
      <w:r>
        <w:rPr>
          <w:sz w:val="26"/>
          <w:szCs w:val="26"/>
        </w:rPr>
        <w:lastRenderedPageBreak/>
        <w:t xml:space="preserve">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, be stayed pending the </w:t>
      </w:r>
      <w:r>
        <w:rPr>
          <w:i/>
          <w:iCs/>
          <w:color w:val="0000FF"/>
          <w:sz w:val="26"/>
          <w:szCs w:val="26"/>
        </w:rPr>
        <w:t>[proceeding]</w:t>
      </w:r>
      <w:r>
        <w:rPr>
          <w:sz w:val="26"/>
          <w:szCs w:val="26"/>
        </w:rPr>
        <w:t xml:space="preserve">. </w:t>
      </w:r>
      <w:r>
        <w:rPr>
          <w:i/>
          <w:iCs/>
          <w:color w:val="0000FF"/>
          <w:sz w:val="26"/>
          <w:szCs w:val="26"/>
        </w:rPr>
        <w:t>[Identify and describe other proceeding, with details such as case number, court, judge, etc.]</w:t>
      </w:r>
    </w:p>
    <w:p w14:paraId="5D4A4CFE" w14:textId="77777777" w:rsidR="00C469BD" w:rsidRDefault="00C469BD" w:rsidP="00C469BD">
      <w:pPr>
        <w:spacing w:line="614" w:lineRule="exact"/>
        <w:rPr>
          <w:i/>
          <w:iCs/>
          <w:color w:val="008000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 xml:space="preserve">[In summary form:  Identify what considerations militate in favor of deciding the other proceeding first.] </w:t>
      </w:r>
    </w:p>
    <w:p w14:paraId="06789447" w14:textId="77777777" w:rsidR="00C469BD" w:rsidRDefault="00C469BD" w:rsidP="00C469BD">
      <w:pPr>
        <w:spacing w:line="614" w:lineRule="exact"/>
        <w:rPr>
          <w:color w:val="008000"/>
          <w:sz w:val="26"/>
          <w:szCs w:val="26"/>
        </w:rPr>
      </w:pPr>
      <w:r>
        <w:rPr>
          <w:i/>
          <w:iCs/>
          <w:color w:val="008000"/>
          <w:sz w:val="26"/>
          <w:szCs w:val="26"/>
        </w:rPr>
        <w:tab/>
        <w:t>[In juvenile cases, explain why the stay is consistent with the high priority given such appeals and why it will not prejudice the child or any other party.]</w:t>
      </w:r>
    </w:p>
    <w:p w14:paraId="5ADD1FC3" w14:textId="77777777" w:rsidR="00C469BD" w:rsidRDefault="00C469BD" w:rsidP="00C469BD">
      <w:pPr>
        <w:spacing w:line="614" w:lineRule="exact"/>
        <w:rPr>
          <w:sz w:val="26"/>
          <w:szCs w:val="26"/>
        </w:rPr>
      </w:pPr>
      <w:r>
        <w:rPr>
          <w:sz w:val="26"/>
          <w:szCs w:val="26"/>
        </w:rPr>
        <w:tab/>
        <w:t>This motion is made under California Rules of Court, rule 8.54 and is based on the attached memorandum of points and authorities and exhibits.</w:t>
      </w:r>
    </w:p>
    <w:p w14:paraId="70186FFA" w14:textId="77777777" w:rsidR="00C469BD" w:rsidRDefault="00C469BD" w:rsidP="00C46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7" w:lineRule="exact"/>
        <w:ind w:left="4320" w:hanging="4320"/>
        <w:rPr>
          <w:sz w:val="26"/>
          <w:szCs w:val="26"/>
        </w:rPr>
      </w:pPr>
      <w:r>
        <w:rPr>
          <w:sz w:val="26"/>
          <w:szCs w:val="26"/>
        </w:rPr>
        <w:t>Dated</w:t>
      </w:r>
      <w:proofErr w:type="gramStart"/>
      <w:r>
        <w:rPr>
          <w:sz w:val="26"/>
          <w:szCs w:val="26"/>
        </w:rPr>
        <w:t xml:space="preserve">: </w:t>
      </w:r>
      <w:r>
        <w:rPr>
          <w:i/>
          <w:iCs/>
          <w:color w:val="0000FF"/>
          <w:sz w:val="26"/>
          <w:szCs w:val="26"/>
        </w:rPr>
        <w:t xml:space="preserve"> [</w:t>
      </w:r>
      <w:proofErr w:type="gramEnd"/>
      <w:r>
        <w:rPr>
          <w:i/>
          <w:iCs/>
          <w:color w:val="0000FF"/>
          <w:sz w:val="26"/>
          <w:szCs w:val="26"/>
        </w:rPr>
        <w:t>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  <w:r>
        <w:rPr>
          <w:sz w:val="26"/>
          <w:szCs w:val="26"/>
        </w:rPr>
        <w:tab/>
      </w:r>
    </w:p>
    <w:p w14:paraId="748CB87D" w14:textId="77777777" w:rsidR="00C469BD" w:rsidRDefault="00C469BD" w:rsidP="00C469BD">
      <w:pPr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58E7830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[Attorney’s name]                 </w:t>
      </w:r>
    </w:p>
    <w:p w14:paraId="55A5AF1D" w14:textId="77777777" w:rsidR="00C469BD" w:rsidRDefault="00C469BD" w:rsidP="00C469BD">
      <w:pPr>
        <w:spacing w:line="307" w:lineRule="exact"/>
        <w:ind w:left="432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14:paraId="503BD808" w14:textId="77777777" w:rsidR="00C469BD" w:rsidRDefault="00C469BD" w:rsidP="00C469BD">
      <w:pPr>
        <w:spacing w:line="307" w:lineRule="exact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14:paraId="22DB8559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5A976406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7CE518F6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7BFB8CF3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7C5B4294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MEMORANDUM OF POINTS AND AUTHORITIES</w:t>
      </w:r>
    </w:p>
    <w:p w14:paraId="54163528" w14:textId="77777777" w:rsidR="00C469BD" w:rsidRDefault="00C469BD" w:rsidP="00C469BD">
      <w:pPr>
        <w:spacing w:line="307" w:lineRule="exact"/>
        <w:jc w:val="center"/>
        <w:rPr>
          <w:b/>
          <w:bCs/>
          <w:sz w:val="26"/>
          <w:szCs w:val="26"/>
        </w:rPr>
      </w:pPr>
    </w:p>
    <w:p w14:paraId="73021014" w14:textId="77777777" w:rsidR="00C469BD" w:rsidRDefault="00C469BD" w:rsidP="00C469BD">
      <w:pPr>
        <w:spacing w:line="614" w:lineRule="exac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[Provide adequate procedural and factual background to understand the motion. Describe the issues in both the appeal and the other proceeding.]</w:t>
      </w:r>
    </w:p>
    <w:p w14:paraId="312FB339" w14:textId="77777777" w:rsidR="00C469BD" w:rsidRDefault="00C469BD" w:rsidP="00C469BD">
      <w:pPr>
        <w:spacing w:line="614" w:lineRule="exact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 xml:space="preserve">[If applicable, explain how resolution of the other proceeding could make resolution of the appeal unnecessary. E.g.: The resolution of the other proceeding may render the issues in this appeal moot in that . . . .]  </w:t>
      </w:r>
    </w:p>
    <w:p w14:paraId="0DFB512D" w14:textId="77777777" w:rsidR="00C469BD" w:rsidRDefault="00C469BD" w:rsidP="00C469BD">
      <w:pPr>
        <w:spacing w:line="614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In order to conserve judicial resources and avoid piecemeal or duplicate briefing, counsel requests that the appeal be stayed until the </w:t>
      </w:r>
      <w:r>
        <w:rPr>
          <w:i/>
          <w:iCs/>
          <w:color w:val="0000FF"/>
          <w:sz w:val="26"/>
          <w:szCs w:val="26"/>
        </w:rPr>
        <w:t>[other proceeding]</w:t>
      </w:r>
      <w:r>
        <w:rPr>
          <w:sz w:val="26"/>
          <w:szCs w:val="26"/>
        </w:rPr>
        <w:t xml:space="preserve"> has been resolved.</w:t>
      </w:r>
    </w:p>
    <w:p w14:paraId="7D65D90D" w14:textId="77777777" w:rsidR="00C469BD" w:rsidRDefault="00C469BD" w:rsidP="00C469BD">
      <w:pPr>
        <w:spacing w:line="614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For the foregoing reasons, defendant requests the appeal be stayed pending the outcome of the </w:t>
      </w:r>
      <w:r>
        <w:rPr>
          <w:i/>
          <w:iCs/>
          <w:color w:val="0000FF"/>
          <w:sz w:val="26"/>
          <w:szCs w:val="26"/>
        </w:rPr>
        <w:t>[other proceeding]</w:t>
      </w:r>
      <w:r>
        <w:rPr>
          <w:sz w:val="26"/>
          <w:szCs w:val="26"/>
        </w:rPr>
        <w:t>.</w:t>
      </w:r>
    </w:p>
    <w:p w14:paraId="4744C048" w14:textId="77777777" w:rsidR="00C469BD" w:rsidRDefault="00C469BD" w:rsidP="00C46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614" w:lineRule="exact"/>
        <w:ind w:left="4320" w:hanging="4320"/>
        <w:rPr>
          <w:sz w:val="26"/>
          <w:szCs w:val="26"/>
        </w:rPr>
      </w:pPr>
      <w:r>
        <w:rPr>
          <w:sz w:val="26"/>
          <w:szCs w:val="26"/>
        </w:rPr>
        <w:t>Dated:</w:t>
      </w:r>
      <w:r>
        <w:rPr>
          <w:i/>
          <w:iCs/>
          <w:color w:val="0000FF"/>
          <w:sz w:val="26"/>
          <w:szCs w:val="26"/>
        </w:rPr>
        <w:t xml:space="preserve"> [date]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Respectfully submitted,</w:t>
      </w:r>
    </w:p>
    <w:p w14:paraId="33916E09" w14:textId="77777777" w:rsidR="00C469BD" w:rsidRDefault="00C469BD" w:rsidP="00C469BD">
      <w:pPr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D372DFA" w14:textId="77777777" w:rsidR="00C469BD" w:rsidRDefault="00C469BD" w:rsidP="00C469BD">
      <w:pPr>
        <w:spacing w:line="307" w:lineRule="exact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[Attorney’s name]                 </w:t>
      </w:r>
    </w:p>
    <w:p w14:paraId="78EBC06F" w14:textId="77777777" w:rsidR="00C469BD" w:rsidRDefault="00C469BD" w:rsidP="00C469BD">
      <w:pPr>
        <w:spacing w:line="307" w:lineRule="exact"/>
        <w:ind w:left="4320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State Bar No. </w:t>
      </w:r>
      <w:r>
        <w:rPr>
          <w:i/>
          <w:iCs/>
          <w:color w:val="0000FF"/>
          <w:sz w:val="26"/>
          <w:szCs w:val="26"/>
        </w:rPr>
        <w:t>[number]</w:t>
      </w:r>
    </w:p>
    <w:p w14:paraId="074262D4" w14:textId="77777777" w:rsidR="00C469BD" w:rsidRDefault="00C469BD" w:rsidP="00C469BD">
      <w:pPr>
        <w:spacing w:line="307" w:lineRule="exact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Attorney for Defendant </w:t>
      </w:r>
      <w:r>
        <w:rPr>
          <w:i/>
          <w:iCs/>
          <w:color w:val="0000FF"/>
          <w:sz w:val="26"/>
          <w:szCs w:val="26"/>
        </w:rPr>
        <w:t>[name]</w:t>
      </w:r>
    </w:p>
    <w:p w14:paraId="18D62646" w14:textId="77777777" w:rsidR="00C469BD" w:rsidRDefault="00C469BD" w:rsidP="00C469BD">
      <w:pPr>
        <w:spacing w:line="614" w:lineRule="exact"/>
        <w:rPr>
          <w:sz w:val="26"/>
          <w:szCs w:val="26"/>
        </w:rPr>
      </w:pPr>
    </w:p>
    <w:p w14:paraId="6A871B4D" w14:textId="77777777" w:rsidR="00C469BD" w:rsidRDefault="00C469BD" w:rsidP="00C469BD">
      <w:pPr>
        <w:spacing w:line="307" w:lineRule="exact"/>
        <w:rPr>
          <w:sz w:val="26"/>
          <w:szCs w:val="26"/>
        </w:rPr>
      </w:pPr>
    </w:p>
    <w:p w14:paraId="5C2F4AF0" w14:textId="77777777" w:rsidR="00C469BD" w:rsidRDefault="00C469BD" w:rsidP="00C469BD">
      <w:pPr>
        <w:spacing w:line="307" w:lineRule="exact"/>
        <w:rPr>
          <w:sz w:val="26"/>
          <w:szCs w:val="26"/>
        </w:rPr>
        <w:sectPr w:rsidR="00C469BD" w:rsidSect="001C5788">
          <w:footerReference w:type="default" r:id="rId10"/>
          <w:type w:val="continuous"/>
          <w:pgSz w:w="12240" w:h="15840"/>
          <w:pgMar w:top="1440" w:right="2160" w:bottom="1440" w:left="2160" w:header="1728" w:footer="144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14:paraId="1D5ABD98" w14:textId="77777777" w:rsidR="00D47EB7" w:rsidRDefault="00C469BD" w:rsidP="00C469BD">
      <w:pPr>
        <w:jc w:val="center"/>
      </w:pPr>
      <w:r>
        <w:rPr>
          <w:b/>
          <w:bCs/>
          <w:sz w:val="26"/>
          <w:szCs w:val="26"/>
        </w:rPr>
        <w:lastRenderedPageBreak/>
        <w:t>PROOF OF SERVICE</w:t>
      </w:r>
    </w:p>
    <w:sectPr w:rsidR="00D47EB7" w:rsidSect="00D4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0712" w14:textId="77777777" w:rsidR="00014747" w:rsidRDefault="00014747">
      <w:r>
        <w:separator/>
      </w:r>
    </w:p>
  </w:endnote>
  <w:endnote w:type="continuationSeparator" w:id="0">
    <w:p w14:paraId="4FF308AE" w14:textId="77777777" w:rsidR="00014747" w:rsidRDefault="000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49CF8" w14:textId="4720CAB5" w:rsidR="0015595D" w:rsidRDefault="00155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90A56" w14:textId="77777777" w:rsidR="001C5788" w:rsidRDefault="001C5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ED50" w14:textId="215DE2A7" w:rsidR="0015595D" w:rsidRDefault="0015595D">
    <w:pPr>
      <w:pStyle w:val="Footer"/>
      <w:jc w:val="center"/>
    </w:pPr>
  </w:p>
  <w:p w14:paraId="6E5BFCB5" w14:textId="77777777" w:rsidR="001C5788" w:rsidRDefault="001C5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4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9214D" w14:textId="1F2C4D42" w:rsidR="0015595D" w:rsidRDefault="00155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C4B599" w14:textId="77777777" w:rsidR="00CD098E" w:rsidRDefault="000125A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E688" w14:textId="77777777" w:rsidR="00014747" w:rsidRDefault="00014747">
      <w:r>
        <w:separator/>
      </w:r>
    </w:p>
  </w:footnote>
  <w:footnote w:type="continuationSeparator" w:id="0">
    <w:p w14:paraId="1CC4D8A2" w14:textId="77777777" w:rsidR="00014747" w:rsidRDefault="0001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BD"/>
    <w:rsid w:val="000125A9"/>
    <w:rsid w:val="00014747"/>
    <w:rsid w:val="0015595D"/>
    <w:rsid w:val="001C5788"/>
    <w:rsid w:val="002B39DB"/>
    <w:rsid w:val="003131AD"/>
    <w:rsid w:val="00323424"/>
    <w:rsid w:val="00466CB7"/>
    <w:rsid w:val="006249AB"/>
    <w:rsid w:val="007721DD"/>
    <w:rsid w:val="00A97731"/>
    <w:rsid w:val="00C469BD"/>
    <w:rsid w:val="00D47EB7"/>
    <w:rsid w:val="00D83F23"/>
    <w:rsid w:val="00DA3896"/>
    <w:rsid w:val="00E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73C80C"/>
  <w15:docId w15:val="{753C03A0-F163-4EB3-85F3-5EC8FD9D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D83F2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83F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78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88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9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D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i-sandiego.com/practice/pract_article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-sandiego.com/panel/manual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2654</Characters>
  <Application>Microsoft Office Word</Application>
  <DocSecurity>0</DocSecurity>
  <Lines>147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2</cp:revision>
  <dcterms:created xsi:type="dcterms:W3CDTF">2023-01-12T18:28:00Z</dcterms:created>
  <dcterms:modified xsi:type="dcterms:W3CDTF">2023-01-12T18:28:00Z</dcterms:modified>
</cp:coreProperties>
</file>