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3510" w14:textId="77777777" w:rsidR="00F450EE" w:rsidRDefault="00F450EE" w:rsidP="00F450EE">
      <w:pPr>
        <w:rPr>
          <w:sz w:val="26"/>
          <w:szCs w:val="26"/>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F450EE" w14:paraId="413CC563" w14:textId="77777777" w:rsidTr="00573B41">
        <w:trPr>
          <w:cantSplit/>
        </w:trPr>
        <w:tc>
          <w:tcPr>
            <w:tcW w:w="9360" w:type="dxa"/>
            <w:tcBorders>
              <w:top w:val="single" w:sz="6" w:space="0" w:color="000000"/>
              <w:left w:val="single" w:sz="6" w:space="0" w:color="000000"/>
              <w:bottom w:val="single" w:sz="6" w:space="0" w:color="000000"/>
              <w:right w:val="single" w:sz="6" w:space="0" w:color="000000"/>
            </w:tcBorders>
          </w:tcPr>
          <w:p w14:paraId="07B6C141" w14:textId="77777777" w:rsidR="00573B41" w:rsidRPr="00FE1624" w:rsidRDefault="00573B41" w:rsidP="00573B41">
            <w:pPr>
              <w:spacing w:before="100"/>
              <w:rPr>
                <w:rFonts w:ascii="Arial" w:hAnsi="Arial" w:cs="Arial"/>
                <w:color w:val="0000FF"/>
                <w:sz w:val="26"/>
                <w:szCs w:val="26"/>
              </w:rPr>
            </w:pPr>
            <w:r w:rsidRPr="00FE1624">
              <w:rPr>
                <w:rFonts w:ascii="Arial" w:hAnsi="Arial" w:cs="Arial"/>
                <w:sz w:val="26"/>
                <w:szCs w:val="26"/>
                <w:lang w:val="en-CA"/>
              </w:rPr>
              <w:fldChar w:fldCharType="begin"/>
            </w:r>
            <w:r w:rsidRPr="00FE1624">
              <w:rPr>
                <w:rFonts w:ascii="Arial" w:hAnsi="Arial" w:cs="Arial"/>
                <w:sz w:val="26"/>
                <w:szCs w:val="26"/>
                <w:lang w:val="en-CA"/>
              </w:rPr>
              <w:instrText xml:space="preserve"> SEQ CHAPTER \h \r 1</w:instrText>
            </w:r>
            <w:r w:rsidRPr="00FE1624">
              <w:rPr>
                <w:rFonts w:ascii="Arial" w:hAnsi="Arial" w:cs="Arial"/>
                <w:sz w:val="26"/>
                <w:szCs w:val="26"/>
                <w:lang w:val="en-CA"/>
              </w:rPr>
              <w:fldChar w:fldCharType="end"/>
            </w:r>
            <w:r w:rsidRPr="00FE1624">
              <w:rPr>
                <w:rFonts w:ascii="Arial" w:hAnsi="Arial" w:cs="Arial"/>
                <w:color w:val="0000FF"/>
                <w:sz w:val="26"/>
                <w:szCs w:val="26"/>
              </w:rPr>
              <w:t xml:space="preserve">Parts of this sample form in </w:t>
            </w:r>
            <w:proofErr w:type="gramStart"/>
            <w:r w:rsidRPr="00FE1624">
              <w:rPr>
                <w:rFonts w:ascii="Arial" w:hAnsi="Arial" w:cs="Arial"/>
                <w:color w:val="0000FF"/>
                <w:sz w:val="26"/>
                <w:szCs w:val="26"/>
              </w:rPr>
              <w:t>blue print</w:t>
            </w:r>
            <w:proofErr w:type="gramEnd"/>
            <w:r w:rsidRPr="00FE1624">
              <w:rPr>
                <w:rFonts w:ascii="Arial" w:hAnsi="Arial" w:cs="Arial"/>
                <w:color w:val="0000FF"/>
                <w:sz w:val="26"/>
                <w:szCs w:val="26"/>
              </w:rPr>
              <w:t xml:space="preserve"> are instructions to user, not to be included in filed document unless so noted. </w:t>
            </w:r>
            <w:r w:rsidRPr="00FE1624">
              <w:rPr>
                <w:rFonts w:ascii="Arial" w:hAnsi="Arial" w:cs="Arial"/>
                <w:color w:val="008000"/>
                <w:sz w:val="26"/>
                <w:szCs w:val="26"/>
              </w:rPr>
              <w:t>[Parts and references in green font, if any, refer to juvenile proceedings. See Practice Note, this web page, for guidance in adapting forms to juvenile cases.]</w:t>
            </w:r>
            <w:r w:rsidRPr="00FE1624">
              <w:rPr>
                <w:rFonts w:ascii="Arial" w:hAnsi="Arial" w:cs="Arial"/>
                <w:color w:val="0000FF"/>
                <w:sz w:val="26"/>
                <w:szCs w:val="26"/>
              </w:rPr>
              <w:tab/>
            </w:r>
          </w:p>
          <w:p w14:paraId="0920A206" w14:textId="77777777" w:rsidR="00573B41" w:rsidRPr="00FE1624" w:rsidRDefault="00573B41" w:rsidP="00573B41">
            <w:pPr>
              <w:spacing w:before="100"/>
              <w:rPr>
                <w:rFonts w:ascii="Arial" w:hAnsi="Arial" w:cs="Arial"/>
                <w:color w:val="0000FF"/>
                <w:sz w:val="26"/>
                <w:szCs w:val="26"/>
              </w:rPr>
            </w:pPr>
          </w:p>
          <w:p w14:paraId="43F477A0" w14:textId="77777777" w:rsidR="00573B41" w:rsidRDefault="00573B41" w:rsidP="00573B41">
            <w:pPr>
              <w:jc w:val="center"/>
              <w:rPr>
                <w:rFonts w:ascii="Arial" w:hAnsi="Arial" w:cs="Arial"/>
                <w:b/>
                <w:bCs/>
                <w:i/>
                <w:iCs/>
                <w:color w:val="0000FF"/>
                <w:sz w:val="26"/>
                <w:szCs w:val="26"/>
              </w:rPr>
            </w:pPr>
            <w:r w:rsidRPr="00FE1624">
              <w:rPr>
                <w:rFonts w:ascii="Arial" w:hAnsi="Arial" w:cs="Arial"/>
                <w:b/>
                <w:bCs/>
                <w:i/>
                <w:iCs/>
                <w:color w:val="0000FF"/>
                <w:sz w:val="26"/>
                <w:szCs w:val="26"/>
              </w:rPr>
              <w:t>PRACTICE TIPS</w:t>
            </w:r>
          </w:p>
          <w:p w14:paraId="55BEE4D6" w14:textId="77777777" w:rsidR="00573B41" w:rsidRDefault="00573B41">
            <w:pPr>
              <w:spacing w:before="100"/>
              <w:rPr>
                <w:rFonts w:ascii="Arial" w:hAnsi="Arial" w:cs="Arial"/>
                <w:color w:val="0000FF"/>
              </w:rPr>
            </w:pPr>
          </w:p>
          <w:p w14:paraId="7AA41FEF" w14:textId="71266A32" w:rsidR="00573B41" w:rsidRDefault="00573B41" w:rsidP="00573B41">
            <w:pPr>
              <w:spacing w:after="38" w:line="307" w:lineRule="atLeast"/>
              <w:rPr>
                <w:rFonts w:ascii="Arial" w:hAnsi="Arial" w:cs="Arial"/>
                <w:color w:val="0000FF"/>
                <w:sz w:val="26"/>
                <w:szCs w:val="26"/>
              </w:rPr>
            </w:pPr>
            <w:r>
              <w:rPr>
                <w:rFonts w:ascii="Arial" w:hAnsi="Arial" w:cs="Arial"/>
                <w:color w:val="0000FF"/>
                <w:sz w:val="26"/>
                <w:szCs w:val="26"/>
              </w:rPr>
              <w:t xml:space="preserve">See </w:t>
            </w:r>
            <w:hyperlink r:id="rId10" w:history="1">
              <w:r w:rsidRPr="00894BCC">
                <w:rPr>
                  <w:rStyle w:val="Hyperlink"/>
                  <w:rFonts w:ascii="Arial" w:hAnsi="Arial" w:cs="Arial"/>
                  <w:sz w:val="26"/>
                  <w:szCs w:val="26"/>
                </w:rPr>
                <w:t>ADI Manual</w:t>
              </w:r>
            </w:hyperlink>
            <w:r>
              <w:rPr>
                <w:rFonts w:ascii="Arial" w:hAnsi="Arial" w:cs="Arial"/>
                <w:color w:val="0000FF"/>
                <w:sz w:val="26"/>
                <w:szCs w:val="26"/>
              </w:rPr>
              <w:t xml:space="preserve">, chapter 3, section 3.2.4.2; </w:t>
            </w:r>
            <w:hyperlink r:id="rId11" w:history="1">
              <w:r w:rsidRPr="00F52ABE">
                <w:rPr>
                  <w:rStyle w:val="Hyperlink"/>
                  <w:rFonts w:ascii="Arial" w:hAnsi="Arial" w:cs="Arial"/>
                  <w:sz w:val="26"/>
                  <w:szCs w:val="26"/>
                </w:rPr>
                <w:t>ADI’s Motion Practice Guide</w:t>
              </w:r>
            </w:hyperlink>
            <w:r w:rsidRPr="00F52ABE">
              <w:rPr>
                <w:rFonts w:ascii="Arial" w:hAnsi="Arial" w:cs="Arial"/>
                <w:color w:val="0000FF"/>
                <w:sz w:val="26"/>
                <w:szCs w:val="26"/>
              </w:rPr>
              <w:t xml:space="preserve">, </w:t>
            </w:r>
            <w:r w:rsidRPr="00C57FE2">
              <w:rPr>
                <w:rFonts w:ascii="Arial" w:hAnsi="Arial" w:cs="Arial"/>
                <w:color w:val="0000FF"/>
                <w:sz w:val="26"/>
                <w:szCs w:val="26"/>
              </w:rPr>
              <w:t>section II.</w:t>
            </w:r>
            <w:r>
              <w:rPr>
                <w:rFonts w:ascii="Arial" w:hAnsi="Arial" w:cs="Arial"/>
                <w:color w:val="0000FF"/>
                <w:sz w:val="26"/>
                <w:szCs w:val="26"/>
              </w:rPr>
              <w:t xml:space="preserve">C.1.; ADI website on </w:t>
            </w:r>
            <w:hyperlink r:id="rId12" w:history="1">
              <w:r w:rsidRPr="00573B41">
                <w:rPr>
                  <w:rStyle w:val="Hyperlink"/>
                  <w:rFonts w:ascii="Arial" w:hAnsi="Arial" w:cs="Arial"/>
                  <w:sz w:val="26"/>
                  <w:szCs w:val="26"/>
                </w:rPr>
                <w:t>Confidential Records</w:t>
              </w:r>
            </w:hyperlink>
            <w:r>
              <w:rPr>
                <w:rFonts w:ascii="Arial" w:hAnsi="Arial" w:cs="Arial"/>
                <w:color w:val="0000FF"/>
                <w:sz w:val="26"/>
                <w:szCs w:val="26"/>
              </w:rPr>
              <w:t xml:space="preserve">. </w:t>
            </w:r>
          </w:p>
          <w:p w14:paraId="7FBAEDAB" w14:textId="25447710" w:rsidR="00F450EE" w:rsidRDefault="00F450EE" w:rsidP="00F450EE">
            <w:pPr>
              <w:ind w:left="840"/>
            </w:pPr>
            <w:r>
              <w:rPr>
                <w:rFonts w:ascii="Arial" w:hAnsi="Arial" w:cs="Arial"/>
                <w:color w:val="0000FF"/>
                <w:u w:val="single"/>
              </w:rPr>
              <w:t xml:space="preserve"> </w:t>
            </w:r>
          </w:p>
        </w:tc>
      </w:tr>
    </w:tbl>
    <w:p w14:paraId="1774534C" w14:textId="77777777" w:rsidR="0045030C" w:rsidRDefault="0045030C" w:rsidP="00F450EE">
      <w:pPr>
        <w:jc w:val="center"/>
        <w:rPr>
          <w:i/>
          <w:iCs/>
          <w:color w:val="0000FF"/>
          <w:sz w:val="26"/>
          <w:szCs w:val="26"/>
        </w:rPr>
      </w:pPr>
    </w:p>
    <w:p w14:paraId="3E4CA9DF" w14:textId="77777777" w:rsidR="0045030C" w:rsidRDefault="0045030C">
      <w:pPr>
        <w:autoSpaceDE/>
        <w:autoSpaceDN/>
        <w:adjustRightInd/>
        <w:spacing w:after="200" w:line="276" w:lineRule="auto"/>
        <w:rPr>
          <w:i/>
          <w:iCs/>
          <w:color w:val="0000FF"/>
          <w:sz w:val="26"/>
          <w:szCs w:val="26"/>
        </w:rPr>
      </w:pPr>
      <w:r>
        <w:rPr>
          <w:i/>
          <w:iCs/>
          <w:color w:val="0000FF"/>
          <w:sz w:val="26"/>
          <w:szCs w:val="26"/>
        </w:rPr>
        <w:br w:type="page"/>
      </w:r>
    </w:p>
    <w:p w14:paraId="438D22DE" w14:textId="64AC3A7D" w:rsidR="00F450EE" w:rsidRDefault="00F450EE" w:rsidP="00F450EE">
      <w:pPr>
        <w:jc w:val="center"/>
        <w:rPr>
          <w:i/>
          <w:iCs/>
          <w:color w:val="0000FF"/>
          <w:sz w:val="26"/>
          <w:szCs w:val="26"/>
        </w:rPr>
      </w:pPr>
      <w:r>
        <w:rPr>
          <w:i/>
          <w:iCs/>
          <w:color w:val="0000FF"/>
          <w:sz w:val="26"/>
          <w:szCs w:val="26"/>
        </w:rPr>
        <w:t>[Letterhead]</w:t>
      </w:r>
    </w:p>
    <w:p w14:paraId="187F72DF" w14:textId="77777777" w:rsidR="00F450EE" w:rsidRDefault="00F450EE" w:rsidP="00F450EE">
      <w:pPr>
        <w:jc w:val="center"/>
        <w:rPr>
          <w:i/>
          <w:iCs/>
          <w:color w:val="0000FF"/>
          <w:sz w:val="26"/>
          <w:szCs w:val="26"/>
        </w:rPr>
      </w:pPr>
    </w:p>
    <w:p w14:paraId="6C668EC7" w14:textId="77777777" w:rsidR="00F450EE" w:rsidRDefault="00F450EE" w:rsidP="00F450EE">
      <w:pPr>
        <w:jc w:val="center"/>
        <w:rPr>
          <w:color w:val="0000FF"/>
          <w:sz w:val="26"/>
          <w:szCs w:val="26"/>
          <w:u w:val="single"/>
        </w:rPr>
      </w:pPr>
      <w:r>
        <w:rPr>
          <w:i/>
          <w:iCs/>
          <w:color w:val="0000FF"/>
          <w:sz w:val="26"/>
          <w:szCs w:val="26"/>
        </w:rPr>
        <w:t>[Date]</w:t>
      </w:r>
    </w:p>
    <w:p w14:paraId="35806A38" w14:textId="77777777" w:rsidR="00F450EE" w:rsidRDefault="00F450EE" w:rsidP="00F450EE">
      <w:pPr>
        <w:rPr>
          <w:i/>
          <w:iCs/>
          <w:color w:val="0000FF"/>
          <w:sz w:val="26"/>
          <w:szCs w:val="26"/>
          <w:u w:val="single"/>
        </w:rPr>
      </w:pPr>
    </w:p>
    <w:p w14:paraId="1A77BEFD" w14:textId="77777777" w:rsidR="00F450EE" w:rsidRDefault="00F450EE" w:rsidP="00F450EE">
      <w:pPr>
        <w:rPr>
          <w:i/>
          <w:iCs/>
          <w:color w:val="0000FF"/>
          <w:sz w:val="26"/>
          <w:szCs w:val="26"/>
          <w:u w:val="single"/>
        </w:rPr>
      </w:pPr>
    </w:p>
    <w:p w14:paraId="7EE69ED0" w14:textId="77777777" w:rsidR="00F450EE" w:rsidRDefault="00F450EE" w:rsidP="00F450EE">
      <w:pPr>
        <w:rPr>
          <w:i/>
          <w:iCs/>
          <w:sz w:val="26"/>
          <w:szCs w:val="26"/>
        </w:rPr>
      </w:pPr>
      <w:r>
        <w:rPr>
          <w:sz w:val="26"/>
          <w:szCs w:val="26"/>
        </w:rPr>
        <w:t>[Mr./Ms.]</w:t>
      </w:r>
      <w:r>
        <w:rPr>
          <w:i/>
          <w:iCs/>
          <w:color w:val="0000FF"/>
          <w:sz w:val="26"/>
          <w:szCs w:val="26"/>
        </w:rPr>
        <w:t xml:space="preserve"> [Court of Appeal clerk’s name]</w:t>
      </w:r>
    </w:p>
    <w:p w14:paraId="70678686" w14:textId="77777777" w:rsidR="00F450EE" w:rsidRDefault="00F450EE" w:rsidP="00F450EE">
      <w:pPr>
        <w:rPr>
          <w:sz w:val="26"/>
          <w:szCs w:val="26"/>
        </w:rPr>
      </w:pPr>
      <w:r>
        <w:rPr>
          <w:sz w:val="26"/>
          <w:szCs w:val="26"/>
        </w:rPr>
        <w:t>Clerk of the Court/Chief Administrator</w:t>
      </w:r>
    </w:p>
    <w:p w14:paraId="4EA0B159" w14:textId="77777777" w:rsidR="00F450EE" w:rsidRDefault="00F450EE" w:rsidP="00F450EE">
      <w:pPr>
        <w:rPr>
          <w:sz w:val="26"/>
          <w:szCs w:val="26"/>
        </w:rPr>
      </w:pPr>
      <w:r>
        <w:rPr>
          <w:sz w:val="26"/>
          <w:szCs w:val="26"/>
        </w:rPr>
        <w:t xml:space="preserve">Court of Appeal, Fourth Appellate District, Division </w:t>
      </w:r>
      <w:r>
        <w:rPr>
          <w:i/>
          <w:iCs/>
          <w:color w:val="0000FF"/>
          <w:sz w:val="26"/>
          <w:szCs w:val="26"/>
        </w:rPr>
        <w:t>[One / Two / Three]</w:t>
      </w:r>
    </w:p>
    <w:p w14:paraId="05C0881D" w14:textId="77777777" w:rsidR="00F450EE" w:rsidRDefault="00F450EE" w:rsidP="00F450EE">
      <w:pPr>
        <w:rPr>
          <w:i/>
          <w:iCs/>
          <w:color w:val="0000FF"/>
          <w:sz w:val="26"/>
          <w:szCs w:val="26"/>
          <w:u w:val="single"/>
        </w:rPr>
      </w:pPr>
      <w:r>
        <w:rPr>
          <w:i/>
          <w:iCs/>
          <w:color w:val="0000FF"/>
          <w:sz w:val="26"/>
          <w:szCs w:val="26"/>
        </w:rPr>
        <w:t>[Address]</w:t>
      </w:r>
    </w:p>
    <w:p w14:paraId="46327FC6" w14:textId="77777777" w:rsidR="00F450EE" w:rsidRDefault="00F450EE" w:rsidP="00F450EE">
      <w:pPr>
        <w:rPr>
          <w:sz w:val="26"/>
          <w:szCs w:val="26"/>
          <w:u w:val="single"/>
        </w:rPr>
      </w:pPr>
    </w:p>
    <w:p w14:paraId="1A5CB476" w14:textId="77777777" w:rsidR="00F450EE" w:rsidRDefault="00F450EE" w:rsidP="00F450EE">
      <w:pPr>
        <w:tabs>
          <w:tab w:val="left" w:pos="720"/>
        </w:tabs>
        <w:ind w:left="720" w:hanging="720"/>
        <w:rPr>
          <w:i/>
          <w:iCs/>
          <w:color w:val="0000FF"/>
          <w:sz w:val="26"/>
          <w:szCs w:val="26"/>
        </w:rPr>
      </w:pPr>
      <w:r>
        <w:rPr>
          <w:sz w:val="26"/>
          <w:szCs w:val="26"/>
        </w:rPr>
        <w:t>Re:</w:t>
      </w:r>
      <w:r>
        <w:rPr>
          <w:i/>
          <w:iCs/>
          <w:sz w:val="26"/>
          <w:szCs w:val="26"/>
        </w:rPr>
        <w:t xml:space="preserve"> </w:t>
      </w:r>
      <w:r>
        <w:rPr>
          <w:i/>
          <w:iCs/>
          <w:sz w:val="26"/>
          <w:szCs w:val="26"/>
        </w:rPr>
        <w:tab/>
        <w:t>People v</w:t>
      </w:r>
      <w:r>
        <w:rPr>
          <w:sz w:val="26"/>
          <w:szCs w:val="26"/>
        </w:rPr>
        <w:t xml:space="preserve">. </w:t>
      </w:r>
      <w:r>
        <w:rPr>
          <w:i/>
          <w:iCs/>
          <w:color w:val="0000FF"/>
          <w:sz w:val="26"/>
          <w:szCs w:val="26"/>
        </w:rPr>
        <w:t xml:space="preserve">[client’s name] </w:t>
      </w:r>
      <w:r>
        <w:rPr>
          <w:color w:val="008000"/>
          <w:sz w:val="26"/>
          <w:szCs w:val="26"/>
        </w:rPr>
        <w:t xml:space="preserve">/ </w:t>
      </w:r>
      <w:r>
        <w:rPr>
          <w:i/>
          <w:iCs/>
          <w:color w:val="008000"/>
          <w:sz w:val="26"/>
          <w:szCs w:val="26"/>
        </w:rPr>
        <w:t>In re [client’s first name, last initial]</w:t>
      </w:r>
    </w:p>
    <w:p w14:paraId="7183CB10" w14:textId="01F30E48" w:rsidR="00F450EE" w:rsidRDefault="00F450EE" w:rsidP="00F450EE">
      <w:pPr>
        <w:rPr>
          <w:sz w:val="26"/>
          <w:szCs w:val="26"/>
        </w:rPr>
      </w:pPr>
      <w:r>
        <w:rPr>
          <w:sz w:val="26"/>
          <w:szCs w:val="26"/>
        </w:rPr>
        <w:tab/>
        <w:t>Superior Court No.</w:t>
      </w:r>
      <w:proofErr w:type="gramStart"/>
      <w:r>
        <w:rPr>
          <w:sz w:val="26"/>
          <w:szCs w:val="26"/>
        </w:rPr>
        <w:t xml:space="preserve">:  </w:t>
      </w:r>
      <w:r>
        <w:rPr>
          <w:i/>
          <w:iCs/>
          <w:color w:val="0000FF"/>
          <w:sz w:val="26"/>
          <w:szCs w:val="26"/>
        </w:rPr>
        <w:t>[</w:t>
      </w:r>
      <w:proofErr w:type="gramEnd"/>
      <w:r>
        <w:rPr>
          <w:i/>
          <w:iCs/>
          <w:color w:val="0000FF"/>
          <w:sz w:val="26"/>
          <w:szCs w:val="26"/>
        </w:rPr>
        <w:t>case number]</w:t>
      </w:r>
    </w:p>
    <w:p w14:paraId="6812077E" w14:textId="1E40D802" w:rsidR="00F450EE" w:rsidRDefault="00F450EE" w:rsidP="00F450EE">
      <w:pPr>
        <w:rPr>
          <w:color w:val="0000FF"/>
          <w:sz w:val="26"/>
          <w:szCs w:val="26"/>
          <w:u w:val="single"/>
        </w:rPr>
      </w:pPr>
      <w:r>
        <w:rPr>
          <w:sz w:val="26"/>
          <w:szCs w:val="26"/>
        </w:rPr>
        <w:tab/>
        <w:t xml:space="preserve">Court of Appeal No.: </w:t>
      </w:r>
      <w:r>
        <w:rPr>
          <w:i/>
          <w:iCs/>
          <w:color w:val="0000FF"/>
          <w:sz w:val="26"/>
          <w:szCs w:val="26"/>
        </w:rPr>
        <w:t>[case number]</w:t>
      </w:r>
    </w:p>
    <w:p w14:paraId="16B64F28" w14:textId="77777777" w:rsidR="00F450EE" w:rsidRDefault="00F450EE" w:rsidP="00F450EE">
      <w:pPr>
        <w:rPr>
          <w:color w:val="0000FF"/>
          <w:sz w:val="26"/>
          <w:szCs w:val="26"/>
          <w:u w:val="single"/>
        </w:rPr>
      </w:pPr>
    </w:p>
    <w:p w14:paraId="6B0777F6" w14:textId="2D786FEE" w:rsidR="00F450EE" w:rsidRDefault="00F450EE" w:rsidP="00F450EE">
      <w:pPr>
        <w:ind w:left="720"/>
        <w:rPr>
          <w:sz w:val="26"/>
          <w:szCs w:val="26"/>
        </w:rPr>
      </w:pPr>
      <w:r>
        <w:rPr>
          <w:b/>
          <w:bCs/>
          <w:sz w:val="26"/>
          <w:szCs w:val="26"/>
        </w:rPr>
        <w:t xml:space="preserve">Opposition to Disclosure of Irrelevant Confidential Material in </w:t>
      </w:r>
      <w:r>
        <w:rPr>
          <w:b/>
          <w:bCs/>
          <w:i/>
          <w:iCs/>
          <w:sz w:val="26"/>
          <w:szCs w:val="26"/>
        </w:rPr>
        <w:t>Marsden</w:t>
      </w:r>
      <w:r>
        <w:rPr>
          <w:b/>
          <w:bCs/>
          <w:sz w:val="26"/>
          <w:szCs w:val="26"/>
        </w:rPr>
        <w:t xml:space="preserve"> Transcript and Request </w:t>
      </w:r>
      <w:r w:rsidR="009E77C2">
        <w:rPr>
          <w:b/>
          <w:bCs/>
          <w:sz w:val="26"/>
          <w:szCs w:val="26"/>
        </w:rPr>
        <w:t>t</w:t>
      </w:r>
      <w:r>
        <w:rPr>
          <w:b/>
          <w:bCs/>
          <w:sz w:val="26"/>
          <w:szCs w:val="26"/>
        </w:rPr>
        <w:t xml:space="preserve">o Transmit Only Relevant Pages of </w:t>
      </w:r>
      <w:r>
        <w:rPr>
          <w:b/>
          <w:bCs/>
          <w:i/>
          <w:iCs/>
          <w:sz w:val="26"/>
          <w:szCs w:val="26"/>
        </w:rPr>
        <w:t>Marsden</w:t>
      </w:r>
      <w:r>
        <w:rPr>
          <w:b/>
          <w:bCs/>
          <w:sz w:val="26"/>
          <w:szCs w:val="26"/>
        </w:rPr>
        <w:t xml:space="preserve"> Transcript to Respondent (Cal. Rules of Court, Rule 8.47(b)(2)(C))</w:t>
      </w:r>
    </w:p>
    <w:p w14:paraId="18920EAF" w14:textId="77777777" w:rsidR="00F450EE" w:rsidRDefault="00F450EE" w:rsidP="00F450EE">
      <w:pPr>
        <w:rPr>
          <w:sz w:val="26"/>
          <w:szCs w:val="26"/>
        </w:rPr>
      </w:pPr>
    </w:p>
    <w:p w14:paraId="3649FBDC" w14:textId="59DF2A7B" w:rsidR="00F450EE" w:rsidRDefault="00F450EE" w:rsidP="00F450EE">
      <w:pPr>
        <w:rPr>
          <w:i/>
          <w:iCs/>
          <w:color w:val="0000FF"/>
          <w:sz w:val="26"/>
          <w:szCs w:val="26"/>
        </w:rPr>
      </w:pPr>
      <w:r>
        <w:rPr>
          <w:sz w:val="26"/>
          <w:szCs w:val="26"/>
        </w:rPr>
        <w:t>Dear [Mr./Ms.]</w:t>
      </w:r>
      <w:r>
        <w:rPr>
          <w:i/>
          <w:iCs/>
          <w:color w:val="0000FF"/>
          <w:sz w:val="26"/>
          <w:szCs w:val="26"/>
        </w:rPr>
        <w:t xml:space="preserve"> [</w:t>
      </w:r>
      <w:r w:rsidR="00573B41">
        <w:rPr>
          <w:i/>
          <w:iCs/>
          <w:color w:val="0000FF"/>
          <w:sz w:val="26"/>
          <w:szCs w:val="26"/>
        </w:rPr>
        <w:t xml:space="preserve">Court of Appeal </w:t>
      </w:r>
      <w:r>
        <w:rPr>
          <w:i/>
          <w:iCs/>
          <w:color w:val="0000FF"/>
          <w:sz w:val="26"/>
          <w:szCs w:val="26"/>
        </w:rPr>
        <w:t>clerk’s name]</w:t>
      </w:r>
      <w:r>
        <w:rPr>
          <w:color w:val="0000FF"/>
          <w:sz w:val="26"/>
          <w:szCs w:val="26"/>
        </w:rPr>
        <w:t>:</w:t>
      </w:r>
    </w:p>
    <w:p w14:paraId="4F4FE7CF" w14:textId="77777777" w:rsidR="00F450EE" w:rsidRDefault="00F450EE" w:rsidP="00F450EE">
      <w:pPr>
        <w:rPr>
          <w:i/>
          <w:iCs/>
          <w:color w:val="0000FF"/>
          <w:sz w:val="26"/>
          <w:szCs w:val="26"/>
        </w:rPr>
      </w:pPr>
    </w:p>
    <w:p w14:paraId="339B3D06" w14:textId="661C3462" w:rsidR="00F450EE" w:rsidRDefault="00F450EE" w:rsidP="00F450EE">
      <w:pPr>
        <w:rPr>
          <w:i/>
          <w:iCs/>
          <w:color w:val="0000FF"/>
          <w:sz w:val="26"/>
          <w:szCs w:val="26"/>
        </w:rPr>
      </w:pPr>
      <w:r>
        <w:rPr>
          <w:sz w:val="26"/>
          <w:szCs w:val="26"/>
        </w:rPr>
        <w:tab/>
        <w:t>On</w:t>
      </w:r>
      <w:r>
        <w:rPr>
          <w:i/>
          <w:iCs/>
          <w:sz w:val="26"/>
          <w:szCs w:val="26"/>
        </w:rPr>
        <w:t xml:space="preserve"> </w:t>
      </w:r>
      <w:r>
        <w:rPr>
          <w:i/>
          <w:iCs/>
          <w:color w:val="0000FF"/>
          <w:sz w:val="26"/>
          <w:szCs w:val="26"/>
        </w:rPr>
        <w:t>[insert date brief filed]</w:t>
      </w:r>
      <w:r>
        <w:rPr>
          <w:sz w:val="26"/>
          <w:szCs w:val="26"/>
        </w:rPr>
        <w:t>, I filed the appellant’s opening brief in the above-referenced matter. The brief, at pages</w:t>
      </w:r>
      <w:r>
        <w:rPr>
          <w:i/>
          <w:iCs/>
          <w:color w:val="0000FF"/>
          <w:sz w:val="26"/>
          <w:szCs w:val="26"/>
        </w:rPr>
        <w:t xml:space="preserve"> [numbers]</w:t>
      </w:r>
      <w:r>
        <w:rPr>
          <w:sz w:val="26"/>
          <w:szCs w:val="26"/>
        </w:rPr>
        <w:t xml:space="preserve">, raises an issue based on the denial of a motion under </w:t>
      </w:r>
      <w:r>
        <w:rPr>
          <w:i/>
          <w:iCs/>
          <w:sz w:val="26"/>
          <w:szCs w:val="26"/>
        </w:rPr>
        <w:t>People v. Marsden</w:t>
      </w:r>
      <w:r>
        <w:rPr>
          <w:sz w:val="26"/>
          <w:szCs w:val="26"/>
        </w:rPr>
        <w:t xml:space="preserve"> (1970) 2 Cal.3d 118</w:t>
      </w:r>
      <w:r w:rsidR="00B24FAB">
        <w:rPr>
          <w:sz w:val="26"/>
          <w:szCs w:val="26"/>
        </w:rPr>
        <w:t xml:space="preserve"> (</w:t>
      </w:r>
      <w:r w:rsidR="00B24FAB">
        <w:rPr>
          <w:i/>
          <w:iCs/>
          <w:sz w:val="26"/>
          <w:szCs w:val="26"/>
        </w:rPr>
        <w:t>Marsden</w:t>
      </w:r>
      <w:r w:rsidR="00B24FAB">
        <w:rPr>
          <w:sz w:val="26"/>
          <w:szCs w:val="26"/>
        </w:rPr>
        <w:t>)</w:t>
      </w:r>
      <w:r>
        <w:rPr>
          <w:sz w:val="26"/>
          <w:szCs w:val="26"/>
        </w:rPr>
        <w:t>, on</w:t>
      </w:r>
      <w:r>
        <w:rPr>
          <w:color w:val="0000FF"/>
          <w:sz w:val="26"/>
          <w:szCs w:val="26"/>
        </w:rPr>
        <w:t xml:space="preserve"> </w:t>
      </w:r>
      <w:r>
        <w:rPr>
          <w:i/>
          <w:iCs/>
          <w:color w:val="0000FF"/>
          <w:sz w:val="26"/>
          <w:szCs w:val="26"/>
        </w:rPr>
        <w:t>[date]</w:t>
      </w:r>
      <w:r>
        <w:rPr>
          <w:sz w:val="26"/>
          <w:szCs w:val="26"/>
        </w:rPr>
        <w:t xml:space="preserve">.  </w:t>
      </w:r>
      <w:r>
        <w:rPr>
          <w:color w:val="008000"/>
          <w:sz w:val="26"/>
          <w:szCs w:val="26"/>
        </w:rPr>
        <w:t xml:space="preserve">[See </w:t>
      </w:r>
      <w:r>
        <w:rPr>
          <w:i/>
          <w:iCs/>
          <w:color w:val="008000"/>
          <w:sz w:val="26"/>
          <w:szCs w:val="26"/>
        </w:rPr>
        <w:t>In re A.H.</w:t>
      </w:r>
      <w:r>
        <w:rPr>
          <w:color w:val="008000"/>
          <w:sz w:val="26"/>
          <w:szCs w:val="26"/>
        </w:rPr>
        <w:t xml:space="preserve"> (2013) 218 Cal.App.4th 337, 342, fn. 5 [applicability of </w:t>
      </w:r>
      <w:r>
        <w:rPr>
          <w:i/>
          <w:iCs/>
          <w:color w:val="008000"/>
          <w:sz w:val="26"/>
          <w:szCs w:val="26"/>
        </w:rPr>
        <w:t xml:space="preserve">Marsden </w:t>
      </w:r>
      <w:r>
        <w:rPr>
          <w:color w:val="008000"/>
          <w:sz w:val="26"/>
          <w:szCs w:val="26"/>
        </w:rPr>
        <w:t>to juvenile cases]</w:t>
      </w:r>
      <w:r>
        <w:rPr>
          <w:i/>
          <w:iCs/>
          <w:color w:val="008000"/>
          <w:sz w:val="26"/>
          <w:szCs w:val="26"/>
        </w:rPr>
        <w:t>.</w:t>
      </w:r>
      <w:r>
        <w:rPr>
          <w:color w:val="008000"/>
          <w:sz w:val="26"/>
          <w:szCs w:val="26"/>
        </w:rPr>
        <w:t>)]</w:t>
      </w:r>
      <w:r>
        <w:rPr>
          <w:i/>
          <w:iCs/>
          <w:sz w:val="26"/>
          <w:szCs w:val="26"/>
        </w:rPr>
        <w:t xml:space="preserve"> </w:t>
      </w:r>
      <w:r>
        <w:rPr>
          <w:sz w:val="26"/>
          <w:szCs w:val="26"/>
        </w:rPr>
        <w:t>The trial court exercised its discretion to exclude the prosecution from this hearing</w:t>
      </w:r>
      <w:r>
        <w:rPr>
          <w:i/>
          <w:iCs/>
          <w:sz w:val="26"/>
          <w:szCs w:val="26"/>
        </w:rPr>
        <w:t xml:space="preserve">. </w:t>
      </w:r>
      <w:r>
        <w:rPr>
          <w:i/>
          <w:iCs/>
          <w:color w:val="0000FF"/>
          <w:sz w:val="26"/>
          <w:szCs w:val="26"/>
        </w:rPr>
        <w:t xml:space="preserve">[Citation to record.] </w:t>
      </w:r>
      <w:r>
        <w:rPr>
          <w:sz w:val="26"/>
          <w:szCs w:val="26"/>
        </w:rPr>
        <w:t>The transcript of the hearing is confidential and has not yet been made available to respondent. (Cal. Rules of Court, rule 8.45(d)(</w:t>
      </w:r>
      <w:r w:rsidR="00B24FAB">
        <w:rPr>
          <w:sz w:val="26"/>
          <w:szCs w:val="26"/>
        </w:rPr>
        <w:t>2</w:t>
      </w:r>
      <w:r>
        <w:rPr>
          <w:sz w:val="26"/>
          <w:szCs w:val="26"/>
        </w:rPr>
        <w:t>)</w:t>
      </w:r>
      <w:r w:rsidR="00B24FAB">
        <w:rPr>
          <w:sz w:val="26"/>
          <w:szCs w:val="26"/>
        </w:rPr>
        <w:t>-(3)</w:t>
      </w:r>
      <w:r>
        <w:rPr>
          <w:sz w:val="26"/>
          <w:szCs w:val="26"/>
        </w:rPr>
        <w:t xml:space="preserve">.) Respondent now seeks disclosure of the </w:t>
      </w:r>
      <w:r>
        <w:rPr>
          <w:i/>
          <w:iCs/>
          <w:sz w:val="26"/>
          <w:szCs w:val="26"/>
        </w:rPr>
        <w:t>Marsden</w:t>
      </w:r>
      <w:r>
        <w:rPr>
          <w:sz w:val="26"/>
          <w:szCs w:val="26"/>
        </w:rPr>
        <w:t xml:space="preserve"> transcript under rule 8.47(b)(2)(B). Defendant opposes this request under rule 8.47(b)(2)(C</w:t>
      </w:r>
      <w:proofErr w:type="gramStart"/>
      <w:r>
        <w:rPr>
          <w:sz w:val="26"/>
          <w:szCs w:val="26"/>
        </w:rPr>
        <w:t>).The</w:t>
      </w:r>
      <w:proofErr w:type="gramEnd"/>
      <w:r>
        <w:rPr>
          <w:sz w:val="26"/>
          <w:szCs w:val="26"/>
        </w:rPr>
        <w:t xml:space="preserve"> following parts of the </w:t>
      </w:r>
      <w:r>
        <w:rPr>
          <w:i/>
          <w:iCs/>
          <w:sz w:val="26"/>
          <w:szCs w:val="26"/>
        </w:rPr>
        <w:t xml:space="preserve">Marsden </w:t>
      </w:r>
      <w:r>
        <w:rPr>
          <w:sz w:val="26"/>
          <w:szCs w:val="26"/>
        </w:rPr>
        <w:t xml:space="preserve">transcript are not relevant to the issue raised in the brief </w:t>
      </w:r>
      <w:r w:rsidR="00B24FAB">
        <w:rPr>
          <w:sz w:val="26"/>
          <w:szCs w:val="26"/>
        </w:rPr>
        <w:t xml:space="preserve">which </w:t>
      </w:r>
      <w:r>
        <w:rPr>
          <w:sz w:val="26"/>
          <w:szCs w:val="26"/>
        </w:rPr>
        <w:t>relies on and contain</w:t>
      </w:r>
      <w:r w:rsidR="00B24FAB">
        <w:rPr>
          <w:sz w:val="26"/>
          <w:szCs w:val="26"/>
        </w:rPr>
        <w:t>s</w:t>
      </w:r>
      <w:r>
        <w:rPr>
          <w:sz w:val="26"/>
          <w:szCs w:val="26"/>
        </w:rPr>
        <w:t xml:space="preserve"> confidential information revealing privileged attorney/client communications and defense strategy:  </w:t>
      </w:r>
      <w:r>
        <w:rPr>
          <w:i/>
          <w:iCs/>
          <w:color w:val="0000FF"/>
          <w:sz w:val="26"/>
          <w:szCs w:val="26"/>
        </w:rPr>
        <w:t>[list pages and lines of Marsden transcript not relevant to the issue]</w:t>
      </w:r>
      <w:r>
        <w:rPr>
          <w:i/>
          <w:iCs/>
          <w:sz w:val="26"/>
          <w:szCs w:val="26"/>
        </w:rPr>
        <w:t xml:space="preserve"> </w:t>
      </w:r>
      <w:r>
        <w:rPr>
          <w:sz w:val="26"/>
          <w:szCs w:val="26"/>
        </w:rPr>
        <w:t xml:space="preserve">of the confidential transcript. (See Cal. Rules of Prof. Conduct, rule </w:t>
      </w:r>
      <w:proofErr w:type="gramStart"/>
      <w:r w:rsidR="00B4238C">
        <w:rPr>
          <w:sz w:val="26"/>
          <w:szCs w:val="26"/>
        </w:rPr>
        <w:t>1.6</w:t>
      </w:r>
      <w:r>
        <w:rPr>
          <w:sz w:val="26"/>
          <w:szCs w:val="26"/>
        </w:rPr>
        <w:t>;</w:t>
      </w:r>
      <w:proofErr w:type="gramEnd"/>
      <w:r>
        <w:rPr>
          <w:sz w:val="26"/>
          <w:szCs w:val="26"/>
        </w:rPr>
        <w:t xml:space="preserve"> Bus. &amp; Prof. Code, § 6068, subd. (e)(1); </w:t>
      </w:r>
      <w:r>
        <w:rPr>
          <w:i/>
          <w:iCs/>
          <w:sz w:val="26"/>
          <w:szCs w:val="26"/>
        </w:rPr>
        <w:t>People v. Dennis</w:t>
      </w:r>
      <w:r>
        <w:rPr>
          <w:sz w:val="26"/>
          <w:szCs w:val="26"/>
        </w:rPr>
        <w:t xml:space="preserve"> (1986) 177 Cal.App.3d 863, 871.) Thus, those pages of the transcript should not be released to respondent. The remainder of the transcript is relevant to the issues on appeal and may properly be released. </w:t>
      </w:r>
    </w:p>
    <w:p w14:paraId="6580D5AF" w14:textId="77777777" w:rsidR="00F450EE" w:rsidRDefault="00F450EE" w:rsidP="00F450EE">
      <w:pPr>
        <w:rPr>
          <w:i/>
          <w:iCs/>
          <w:color w:val="0000FF"/>
          <w:sz w:val="26"/>
          <w:szCs w:val="26"/>
        </w:rPr>
      </w:pPr>
    </w:p>
    <w:p w14:paraId="1A9297DB" w14:textId="4F0A95E8" w:rsidR="00F450EE" w:rsidRDefault="00B4238C" w:rsidP="00F450EE">
      <w:pPr>
        <w:ind w:left="720" w:right="720"/>
        <w:rPr>
          <w:rFonts w:ascii="Arial" w:hAnsi="Arial" w:cs="Arial"/>
          <w:color w:val="0000FF"/>
        </w:rPr>
      </w:pPr>
      <w:r>
        <w:rPr>
          <w:rFonts w:ascii="Arial" w:hAnsi="Arial" w:cs="Arial"/>
          <w:noProof/>
          <w:color w:val="0000FF"/>
        </w:rPr>
        <mc:AlternateContent>
          <mc:Choice Requires="wps">
            <w:drawing>
              <wp:anchor distT="0" distB="0" distL="114300" distR="114300" simplePos="0" relativeHeight="251657728" behindDoc="1" locked="0" layoutInCell="1" allowOverlap="1" wp14:anchorId="42E96E16" wp14:editId="3E1BE41A">
                <wp:simplePos x="0" y="0"/>
                <wp:positionH relativeFrom="column">
                  <wp:posOffset>419100</wp:posOffset>
                </wp:positionH>
                <wp:positionV relativeFrom="paragraph">
                  <wp:posOffset>135255</wp:posOffset>
                </wp:positionV>
                <wp:extent cx="5105400" cy="476250"/>
                <wp:effectExtent l="9525" t="5080" r="9525" b="13970"/>
                <wp:wrapNone/>
                <wp:docPr id="21194361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D9D3" id="Rectangle 2" o:spid="_x0000_s1026" style="position:absolute;margin-left:33pt;margin-top:10.65pt;width:402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"/>
            </w:pict>
          </mc:Fallback>
        </mc:AlternateContent>
      </w:r>
    </w:p>
    <w:p w14:paraId="04D87B03" w14:textId="77777777" w:rsidR="00F450EE" w:rsidRDefault="00F450EE" w:rsidP="00F450EE">
      <w:pPr>
        <w:ind w:left="720" w:right="720"/>
        <w:rPr>
          <w:rFonts w:ascii="Arial" w:hAnsi="Arial" w:cs="Arial"/>
          <w:color w:val="0000FF"/>
        </w:rPr>
      </w:pPr>
      <w:r>
        <w:rPr>
          <w:rFonts w:ascii="Arial" w:hAnsi="Arial" w:cs="Arial"/>
          <w:b/>
          <w:bCs/>
          <w:color w:val="0000FF"/>
        </w:rPr>
        <w:t>Practice Tip:</w:t>
      </w:r>
      <w:r>
        <w:rPr>
          <w:rFonts w:ascii="Arial" w:hAnsi="Arial" w:cs="Arial"/>
          <w:color w:val="0000FF"/>
        </w:rPr>
        <w:t xml:space="preserve"> In some </w:t>
      </w:r>
      <w:proofErr w:type="gramStart"/>
      <w:r>
        <w:rPr>
          <w:rFonts w:ascii="Arial" w:hAnsi="Arial" w:cs="Arial"/>
          <w:color w:val="0000FF"/>
        </w:rPr>
        <w:t>cases</w:t>
      </w:r>
      <w:proofErr w:type="gramEnd"/>
      <w:r>
        <w:rPr>
          <w:rFonts w:ascii="Arial" w:hAnsi="Arial" w:cs="Arial"/>
          <w:color w:val="0000FF"/>
        </w:rPr>
        <w:t xml:space="preserve"> it may be more convenient to list the relevant parts of the transcript than to follow the structure of the preceding paragraph, which lists the irrelevant parts. If so, counsel should adapt the language accordingly.</w:t>
      </w:r>
    </w:p>
    <w:p w14:paraId="3029ECD9" w14:textId="4C9F2E40" w:rsidR="009810BB" w:rsidRDefault="009810BB">
      <w:pPr>
        <w:autoSpaceDE/>
        <w:autoSpaceDN/>
        <w:adjustRightInd/>
        <w:spacing w:after="200" w:line="276" w:lineRule="auto"/>
        <w:rPr>
          <w:sz w:val="26"/>
          <w:szCs w:val="26"/>
        </w:rPr>
      </w:pPr>
      <w:r>
        <w:rPr>
          <w:sz w:val="26"/>
          <w:szCs w:val="26"/>
        </w:rPr>
        <w:br w:type="page"/>
      </w:r>
    </w:p>
    <w:p w14:paraId="11BE1B41" w14:textId="77777777" w:rsidR="00F450EE" w:rsidRDefault="00F450EE" w:rsidP="00F450EE">
      <w:pPr>
        <w:rPr>
          <w:sz w:val="26"/>
          <w:szCs w:val="26"/>
        </w:rPr>
      </w:pPr>
    </w:p>
    <w:p w14:paraId="537011C1" w14:textId="77777777" w:rsidR="00F450EE" w:rsidRDefault="00F450EE" w:rsidP="00F450EE">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Respectfully submitted,</w:t>
      </w:r>
    </w:p>
    <w:p w14:paraId="0D65F98D" w14:textId="77777777" w:rsidR="00F450EE" w:rsidRDefault="00F450EE" w:rsidP="00F450EE">
      <w:pPr>
        <w:rPr>
          <w:sz w:val="26"/>
          <w:szCs w:val="26"/>
        </w:rPr>
      </w:pPr>
    </w:p>
    <w:p w14:paraId="1C2340EF" w14:textId="77777777" w:rsidR="00F450EE" w:rsidRDefault="00F450EE" w:rsidP="00F450EE">
      <w:pPr>
        <w:rPr>
          <w:sz w:val="26"/>
          <w:szCs w:val="26"/>
        </w:rPr>
      </w:pPr>
    </w:p>
    <w:p w14:paraId="0F7ED8D5" w14:textId="77777777" w:rsidR="00F450EE" w:rsidRDefault="00F450EE" w:rsidP="00F450EE">
      <w:pPr>
        <w:rPr>
          <w:sz w:val="26"/>
          <w:szCs w:val="26"/>
        </w:rPr>
      </w:pPr>
    </w:p>
    <w:p w14:paraId="10512C36" w14:textId="77777777" w:rsidR="00F450EE" w:rsidRDefault="00F450EE" w:rsidP="00F450EE">
      <w:pPr>
        <w:rPr>
          <w:sz w:val="26"/>
          <w:szCs w:val="26"/>
        </w:rPr>
      </w:pPr>
      <w:r>
        <w:rPr>
          <w:sz w:val="26"/>
          <w:szCs w:val="26"/>
        </w:rPr>
        <w:t xml:space="preserve">Dated: </w:t>
      </w:r>
      <w:r>
        <w:rPr>
          <w:i/>
          <w:iCs/>
          <w:color w:val="0000FF"/>
          <w:sz w:val="26"/>
          <w:szCs w:val="26"/>
        </w:rPr>
        <w:t>[date]</w:t>
      </w:r>
      <w:r>
        <w:rPr>
          <w:i/>
          <w:iCs/>
          <w:color w:val="0000FF"/>
          <w:sz w:val="26"/>
          <w:szCs w:val="26"/>
        </w:rPr>
        <w:tab/>
      </w:r>
      <w:r>
        <w:rPr>
          <w:sz w:val="26"/>
          <w:szCs w:val="26"/>
        </w:rPr>
        <w:tab/>
      </w:r>
      <w:r>
        <w:rPr>
          <w:sz w:val="26"/>
          <w:szCs w:val="26"/>
        </w:rPr>
        <w:tab/>
      </w:r>
      <w:r>
        <w:rPr>
          <w:sz w:val="26"/>
          <w:szCs w:val="26"/>
        </w:rPr>
        <w:tab/>
      </w:r>
      <w:r>
        <w:rPr>
          <w:sz w:val="26"/>
          <w:szCs w:val="26"/>
        </w:rPr>
        <w:tab/>
      </w:r>
      <w:r>
        <w:rPr>
          <w:i/>
          <w:iCs/>
          <w:color w:val="0000FF"/>
          <w:sz w:val="26"/>
          <w:szCs w:val="26"/>
        </w:rPr>
        <w:t xml:space="preserve">[Attorney name] </w:t>
      </w:r>
    </w:p>
    <w:p w14:paraId="1519DC60" w14:textId="77777777" w:rsidR="00F450EE" w:rsidRDefault="00F450EE" w:rsidP="00F450EE">
      <w:pPr>
        <w:rPr>
          <w:i/>
          <w:iCs/>
          <w:color w:val="0000FF"/>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State Bar No. </w:t>
      </w:r>
      <w:r>
        <w:rPr>
          <w:i/>
          <w:iCs/>
          <w:color w:val="0000FF"/>
          <w:sz w:val="26"/>
          <w:szCs w:val="26"/>
        </w:rPr>
        <w:t>[number]</w:t>
      </w:r>
    </w:p>
    <w:p w14:paraId="1B3CA781" w14:textId="77777777" w:rsidR="00B4238C" w:rsidRDefault="00F450EE" w:rsidP="00F450EE">
      <w:pPr>
        <w:ind w:left="4320"/>
        <w:rPr>
          <w:sz w:val="26"/>
          <w:szCs w:val="26"/>
        </w:rPr>
      </w:pPr>
      <w:r>
        <w:rPr>
          <w:sz w:val="26"/>
          <w:szCs w:val="26"/>
        </w:rPr>
        <w:t>Attorney for Defendant</w:t>
      </w:r>
      <w:r w:rsidR="00B4238C">
        <w:rPr>
          <w:sz w:val="26"/>
          <w:szCs w:val="26"/>
        </w:rPr>
        <w:t xml:space="preserve"> and </w:t>
      </w:r>
    </w:p>
    <w:p w14:paraId="230B8766" w14:textId="77777777" w:rsidR="00F43736" w:rsidRDefault="00B4238C" w:rsidP="00667BD3">
      <w:pPr>
        <w:ind w:left="4320"/>
        <w:rPr>
          <w:i/>
          <w:iCs/>
          <w:color w:val="0000FF"/>
          <w:sz w:val="26"/>
          <w:szCs w:val="26"/>
        </w:rPr>
      </w:pPr>
      <w:r>
        <w:rPr>
          <w:sz w:val="26"/>
          <w:szCs w:val="26"/>
        </w:rPr>
        <w:t>Appellant</w:t>
      </w:r>
      <w:r w:rsidR="00F450EE">
        <w:rPr>
          <w:i/>
          <w:iCs/>
          <w:sz w:val="26"/>
          <w:szCs w:val="26"/>
        </w:rPr>
        <w:t xml:space="preserve"> </w:t>
      </w:r>
      <w:r w:rsidR="00F450EE">
        <w:rPr>
          <w:i/>
          <w:iCs/>
          <w:color w:val="0000FF"/>
          <w:sz w:val="26"/>
          <w:szCs w:val="26"/>
        </w:rPr>
        <w:t>[name]</w:t>
      </w:r>
    </w:p>
    <w:p w14:paraId="5F5CB0AF" w14:textId="77777777" w:rsidR="00F43736" w:rsidRDefault="00F43736">
      <w:pPr>
        <w:autoSpaceDE/>
        <w:autoSpaceDN/>
        <w:adjustRightInd/>
        <w:spacing w:after="200" w:line="276" w:lineRule="auto"/>
        <w:rPr>
          <w:i/>
          <w:iCs/>
          <w:color w:val="0000FF"/>
          <w:sz w:val="26"/>
          <w:szCs w:val="26"/>
        </w:rPr>
      </w:pPr>
      <w:r>
        <w:rPr>
          <w:i/>
          <w:iCs/>
          <w:color w:val="0000FF"/>
          <w:sz w:val="26"/>
          <w:szCs w:val="26"/>
        </w:rPr>
        <w:br w:type="page"/>
      </w:r>
    </w:p>
    <w:p w14:paraId="44A9D8A8" w14:textId="0C5621D5" w:rsidR="009A30B8" w:rsidRPr="00F450EE" w:rsidRDefault="00F450EE" w:rsidP="00667BD3">
      <w:pPr>
        <w:ind w:left="4320"/>
      </w:pPr>
      <w:r w:rsidRPr="00F450EE">
        <w:rPr>
          <w:b/>
          <w:bCs/>
          <w:sz w:val="26"/>
          <w:szCs w:val="26"/>
        </w:rPr>
        <w:t>PROOF OF SERVICE</w:t>
      </w:r>
    </w:p>
    <w:sectPr w:rsidR="009A30B8" w:rsidRPr="00F450EE" w:rsidSect="0045030C">
      <w:footerReference w:type="default" r:id="rId13"/>
      <w:pgSz w:w="12240" w:h="15840"/>
      <w:pgMar w:top="1440" w:right="1440" w:bottom="1440" w:left="1440" w:header="1440" w:footer="144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8796C" w14:textId="77777777" w:rsidR="00F450EE" w:rsidRDefault="00F450EE" w:rsidP="00F450EE">
      <w:r>
        <w:separator/>
      </w:r>
    </w:p>
  </w:endnote>
  <w:endnote w:type="continuationSeparator" w:id="0">
    <w:p w14:paraId="512DA3F5" w14:textId="77777777" w:rsidR="00F450EE" w:rsidRDefault="00F450EE" w:rsidP="00F4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494233"/>
      <w:docPartObj>
        <w:docPartGallery w:val="Page Numbers (Bottom of Page)"/>
        <w:docPartUnique/>
      </w:docPartObj>
    </w:sdtPr>
    <w:sdtEndPr>
      <w:rPr>
        <w:noProof/>
      </w:rPr>
    </w:sdtEndPr>
    <w:sdtContent>
      <w:p w14:paraId="42EF61C2" w14:textId="040F8C01" w:rsidR="00F7364C" w:rsidRPr="0045030C" w:rsidRDefault="00F7364C">
        <w:pPr>
          <w:pStyle w:val="Footer"/>
          <w:jc w:val="center"/>
          <w:rPr>
            <w:sz w:val="26"/>
            <w:szCs w:val="26"/>
          </w:rPr>
        </w:pPr>
        <w:r>
          <w:fldChar w:fldCharType="begin"/>
        </w:r>
        <w:r>
          <w:instrText xml:space="preserve"> PAGE   \* MERGEFORMAT </w:instrText>
        </w:r>
        <w:r>
          <w:fldChar w:fldCharType="separate"/>
        </w:r>
        <w:r>
          <w:rPr>
            <w:noProof/>
          </w:rPr>
          <w:t>2</w:t>
        </w:r>
        <w:r>
          <w:rPr>
            <w:noProof/>
          </w:rPr>
          <w:fldChar w:fldCharType="end"/>
        </w:r>
      </w:p>
    </w:sdtContent>
  </w:sdt>
  <w:p w14:paraId="47B5FD95" w14:textId="77777777" w:rsidR="00F7364C" w:rsidRDefault="00F73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2574" w14:textId="77777777" w:rsidR="00F450EE" w:rsidRDefault="00F450EE" w:rsidP="00F450EE">
      <w:r>
        <w:separator/>
      </w:r>
    </w:p>
  </w:footnote>
  <w:footnote w:type="continuationSeparator" w:id="0">
    <w:p w14:paraId="19A4291B" w14:textId="77777777" w:rsidR="00F450EE" w:rsidRDefault="00F450EE" w:rsidP="00F45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EE"/>
    <w:rsid w:val="0045030C"/>
    <w:rsid w:val="004A7415"/>
    <w:rsid w:val="004C36D7"/>
    <w:rsid w:val="00573B41"/>
    <w:rsid w:val="00593F52"/>
    <w:rsid w:val="00626874"/>
    <w:rsid w:val="00667BD3"/>
    <w:rsid w:val="007E08C7"/>
    <w:rsid w:val="009810BB"/>
    <w:rsid w:val="009A30B8"/>
    <w:rsid w:val="009E77C2"/>
    <w:rsid w:val="00B24FAB"/>
    <w:rsid w:val="00B4238C"/>
    <w:rsid w:val="00D668F4"/>
    <w:rsid w:val="00F43736"/>
    <w:rsid w:val="00F450EE"/>
    <w:rsid w:val="00F7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4B52"/>
  <w15:docId w15:val="{A5BD802C-5F32-4EA0-882A-95920CE4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0E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F450EE"/>
    <w:rPr>
      <w:color w:val="0000FF"/>
      <w:u w:val="single"/>
    </w:rPr>
  </w:style>
  <w:style w:type="paragraph" w:styleId="FootnoteText">
    <w:name w:val="footnote text"/>
    <w:basedOn w:val="Normal"/>
    <w:link w:val="FootnoteTextChar"/>
    <w:uiPriority w:val="99"/>
    <w:semiHidden/>
    <w:unhideWhenUsed/>
    <w:rsid w:val="00F450EE"/>
  </w:style>
  <w:style w:type="character" w:customStyle="1" w:styleId="FootnoteTextChar">
    <w:name w:val="Footnote Text Char"/>
    <w:basedOn w:val="DefaultParagraphFont"/>
    <w:link w:val="FootnoteText"/>
    <w:uiPriority w:val="99"/>
    <w:semiHidden/>
    <w:rsid w:val="00F450E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450EE"/>
    <w:rPr>
      <w:vertAlign w:val="superscript"/>
    </w:rPr>
  </w:style>
  <w:style w:type="character" w:styleId="Hyperlink">
    <w:name w:val="Hyperlink"/>
    <w:basedOn w:val="DefaultParagraphFont"/>
    <w:uiPriority w:val="99"/>
    <w:unhideWhenUsed/>
    <w:rsid w:val="00F450EE"/>
    <w:rPr>
      <w:color w:val="0000FF" w:themeColor="hyperlink"/>
      <w:u w:val="single"/>
    </w:rPr>
  </w:style>
  <w:style w:type="character" w:styleId="FollowedHyperlink">
    <w:name w:val="FollowedHyperlink"/>
    <w:basedOn w:val="DefaultParagraphFont"/>
    <w:uiPriority w:val="99"/>
    <w:semiHidden/>
    <w:unhideWhenUsed/>
    <w:rsid w:val="00F450EE"/>
    <w:rPr>
      <w:color w:val="800080" w:themeColor="followedHyperlink"/>
      <w:u w:val="single"/>
    </w:rPr>
  </w:style>
  <w:style w:type="character" w:styleId="UnresolvedMention">
    <w:name w:val="Unresolved Mention"/>
    <w:basedOn w:val="DefaultParagraphFont"/>
    <w:uiPriority w:val="99"/>
    <w:semiHidden/>
    <w:unhideWhenUsed/>
    <w:rsid w:val="00573B41"/>
    <w:rPr>
      <w:color w:val="605E5C"/>
      <w:shd w:val="clear" w:color="auto" w:fill="E1DFDD"/>
    </w:rPr>
  </w:style>
  <w:style w:type="paragraph" w:styleId="Header">
    <w:name w:val="header"/>
    <w:basedOn w:val="Normal"/>
    <w:link w:val="HeaderChar"/>
    <w:uiPriority w:val="99"/>
    <w:unhideWhenUsed/>
    <w:rsid w:val="00F7364C"/>
    <w:pPr>
      <w:tabs>
        <w:tab w:val="center" w:pos="4680"/>
        <w:tab w:val="right" w:pos="9360"/>
      </w:tabs>
    </w:pPr>
  </w:style>
  <w:style w:type="character" w:customStyle="1" w:styleId="HeaderChar">
    <w:name w:val="Header Char"/>
    <w:basedOn w:val="DefaultParagraphFont"/>
    <w:link w:val="Header"/>
    <w:uiPriority w:val="99"/>
    <w:rsid w:val="00F7364C"/>
    <w:rPr>
      <w:rFonts w:ascii="Times New Roman" w:hAnsi="Times New Roman" w:cs="Times New Roman"/>
      <w:sz w:val="20"/>
      <w:szCs w:val="20"/>
    </w:rPr>
  </w:style>
  <w:style w:type="paragraph" w:styleId="Footer">
    <w:name w:val="footer"/>
    <w:basedOn w:val="Normal"/>
    <w:link w:val="FooterChar"/>
    <w:uiPriority w:val="99"/>
    <w:unhideWhenUsed/>
    <w:rsid w:val="00F7364C"/>
    <w:pPr>
      <w:tabs>
        <w:tab w:val="center" w:pos="4680"/>
        <w:tab w:val="right" w:pos="9360"/>
      </w:tabs>
    </w:pPr>
  </w:style>
  <w:style w:type="character" w:customStyle="1" w:styleId="FooterChar">
    <w:name w:val="Footer Char"/>
    <w:basedOn w:val="DefaultParagraphFont"/>
    <w:link w:val="Footer"/>
    <w:uiPriority w:val="99"/>
    <w:rsid w:val="00F7364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i-sandiego.com/legal-resources/general-appellate-practice/confidential-reco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sandiego.com/practice/pract_articles.a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di-sandiego.com/legal-resour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470F1CB9-D36A-4CC3-B72A-D09C6CE5A6EF}">
  <ds:schemaRefs>
    <ds:schemaRef ds:uri="http://schemas.openxmlformats.org/officeDocument/2006/bibliography"/>
  </ds:schemaRefs>
</ds:datastoreItem>
</file>

<file path=customXml/itemProps2.xml><?xml version="1.0" encoding="utf-8"?>
<ds:datastoreItem xmlns:ds="http://schemas.openxmlformats.org/officeDocument/2006/customXml" ds:itemID="{37F1B6CF-7B39-4F9F-B5FF-AD7F3F22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FA43A-134F-4A58-974F-B035E969BE6B}">
  <ds:schemaRefs>
    <ds:schemaRef ds:uri="http://schemas.microsoft.com/sharepoint/v3/contenttype/forms"/>
  </ds:schemaRefs>
</ds:datastoreItem>
</file>

<file path=customXml/itemProps4.xml><?xml version="1.0" encoding="utf-8"?>
<ds:datastoreItem xmlns:ds="http://schemas.openxmlformats.org/officeDocument/2006/customXml" ds:itemID="{E4B2F5C2-2937-40A3-9B99-17A83FB092E3}">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6</cp:revision>
  <dcterms:created xsi:type="dcterms:W3CDTF">2025-01-10T00:23:00Z</dcterms:created>
  <dcterms:modified xsi:type="dcterms:W3CDTF">2025-01-10T00:28:00Z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