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06A7" w14:textId="77777777" w:rsidR="006F50B7" w:rsidRDefault="006F50B7" w:rsidP="006F50B7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6F50B7" w14:paraId="1867FE99" w14:textId="77777777" w:rsidTr="006F50B7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1818" w14:textId="77777777" w:rsidR="006F50B7" w:rsidRDefault="006F50B7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D9497A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47E64B15" w14:textId="77777777" w:rsidR="00D9497A" w:rsidRDefault="00D9497A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16ED1760" w14:textId="26707B20" w:rsidR="00D9497A" w:rsidRPr="00D9497A" w:rsidRDefault="00D9497A" w:rsidP="00D9497A">
            <w:pPr>
              <w:spacing w:before="100"/>
              <w:jc w:val="center"/>
              <w:rPr>
                <w:rFonts w:ascii="Arial" w:hAnsi="Arial" w:cs="Arial"/>
                <w:i/>
                <w:iCs/>
                <w:color w:val="008000"/>
                <w:sz w:val="26"/>
                <w:szCs w:val="26"/>
              </w:rPr>
            </w:pPr>
            <w:r w:rsidRPr="00D9497A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35297F39" w14:textId="77777777" w:rsidR="00D9497A" w:rsidRDefault="00D9497A" w:rsidP="00D9497A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46284004" w14:textId="65EE32B6" w:rsidR="00D9497A" w:rsidRPr="00081E14" w:rsidRDefault="00D9497A" w:rsidP="00D9497A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 Manual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Pr="00795D28">
              <w:rPr>
                <w:rFonts w:ascii="Arial" w:hAnsi="Arial" w:cs="Arial"/>
                <w:color w:val="0000FF"/>
                <w:sz w:val="26"/>
                <w:szCs w:val="26"/>
              </w:rPr>
              <w:t xml:space="preserve">chapter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6</w:t>
            </w:r>
            <w:r w:rsidRPr="00795D28">
              <w:rPr>
                <w:rFonts w:ascii="Arial" w:hAnsi="Arial" w:cs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6.4, et seq. and specifically sections 6.4.2.1. and 6.4.2.2. </w:t>
            </w:r>
            <w:hyperlink r:id="rId11" w:history="1">
              <w:r w:rsidRPr="007520EF">
                <w:rPr>
                  <w:rStyle w:val="Hyperlink"/>
                  <w:rFonts w:ascii="Arial" w:hAnsi="Arial" w:cs="Arial"/>
                  <w:sz w:val="26"/>
                  <w:szCs w:val="26"/>
                </w:rPr>
                <w:t>Division One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and </w:t>
            </w:r>
            <w:hyperlink r:id="rId12" w:history="1">
              <w:r w:rsidR="001C45BF" w:rsidRPr="001C45BF">
                <w:rPr>
                  <w:rStyle w:val="Hyperlink"/>
                  <w:rFonts w:ascii="Arial" w:hAnsi="Arial" w:cs="Arial"/>
                  <w:sz w:val="26"/>
                  <w:szCs w:val="26"/>
                </w:rPr>
                <w:t xml:space="preserve">Division </w:t>
              </w:r>
              <w:r w:rsidRPr="001C45BF">
                <w:rPr>
                  <w:rStyle w:val="Hyperlink"/>
                  <w:rFonts w:ascii="Arial" w:hAnsi="Arial" w:cs="Arial"/>
                  <w:sz w:val="26"/>
                  <w:szCs w:val="26"/>
                </w:rPr>
                <w:t>Two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limit oral argument to 15 minutes</w:t>
            </w:r>
            <w:r w:rsidR="00C34FD7">
              <w:rPr>
                <w:rFonts w:ascii="Arial" w:hAnsi="Arial" w:cs="Arial"/>
                <w:color w:val="0000FF"/>
                <w:sz w:val="26"/>
                <w:szCs w:val="26"/>
              </w:rPr>
              <w:t xml:space="preserve">, unless </w:t>
            </w:r>
            <w:r w:rsidR="00FE4E44" w:rsidRPr="009A545B">
              <w:rPr>
                <w:rFonts w:ascii="Arial" w:hAnsi="Arial" w:cs="Arial"/>
                <w:color w:val="0000FF"/>
                <w:sz w:val="26"/>
                <w:szCs w:val="26"/>
              </w:rPr>
              <w:t>a</w:t>
            </w:r>
            <w:r w:rsidR="00FE4E44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C34FD7">
              <w:rPr>
                <w:rFonts w:ascii="Arial" w:hAnsi="Arial" w:cs="Arial"/>
                <w:color w:val="0000FF"/>
                <w:sz w:val="26"/>
                <w:szCs w:val="26"/>
              </w:rPr>
              <w:t xml:space="preserve">request for more time </w:t>
            </w:r>
            <w:r w:rsidR="00FE4E44" w:rsidRPr="009A545B">
              <w:rPr>
                <w:rFonts w:ascii="Arial" w:hAnsi="Arial" w:cs="Arial"/>
                <w:color w:val="0000FF"/>
                <w:sz w:val="26"/>
                <w:szCs w:val="26"/>
              </w:rPr>
              <w:t>is</w:t>
            </w:r>
            <w:r w:rsidR="00FE4E44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C34FD7">
              <w:rPr>
                <w:rFonts w:ascii="Arial" w:hAnsi="Arial" w:cs="Arial"/>
                <w:color w:val="0000FF"/>
                <w:sz w:val="26"/>
                <w:szCs w:val="26"/>
              </w:rPr>
              <w:t>granted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. </w:t>
            </w:r>
            <w:r w:rsidR="00C34FD7">
              <w:rPr>
                <w:rFonts w:ascii="Arial" w:hAnsi="Arial" w:cs="Arial"/>
                <w:color w:val="0000FF"/>
                <w:sz w:val="26"/>
                <w:szCs w:val="26"/>
              </w:rPr>
              <w:t xml:space="preserve">Division Three has not issued an order limiting time. </w:t>
            </w:r>
            <w:r w:rsidR="00081E14">
              <w:rPr>
                <w:rFonts w:ascii="Arial" w:hAnsi="Arial" w:cs="Arial"/>
                <w:color w:val="0000FF"/>
                <w:sz w:val="26"/>
                <w:szCs w:val="26"/>
              </w:rPr>
              <w:t xml:space="preserve">See also </w:t>
            </w:r>
            <w:hyperlink r:id="rId13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, section II.D.</w:t>
            </w:r>
            <w:r w:rsidR="00C34FD7">
              <w:rPr>
                <w:rFonts w:ascii="Arial" w:hAnsi="Arial" w:cs="Arial"/>
                <w:color w:val="0000FF"/>
                <w:sz w:val="26"/>
                <w:szCs w:val="26"/>
              </w:rPr>
              <w:t>1</w:t>
            </w:r>
            <w:r w:rsidR="00081E14">
              <w:rPr>
                <w:rFonts w:ascii="Arial" w:hAnsi="Arial" w:cs="Arial"/>
                <w:color w:val="0000FF"/>
                <w:sz w:val="26"/>
                <w:szCs w:val="26"/>
              </w:rPr>
              <w:t xml:space="preserve">; </w:t>
            </w:r>
            <w:hyperlink r:id="rId14" w:anchor="elementor-toc__heading-anchor-12" w:history="1">
              <w:r w:rsidR="00081E14" w:rsidRPr="00081E14">
                <w:rPr>
                  <w:rStyle w:val="Hyperlink"/>
                  <w:rFonts w:ascii="Arial" w:hAnsi="Arial" w:cs="Arial"/>
                  <w:sz w:val="26"/>
                  <w:szCs w:val="26"/>
                </w:rPr>
                <w:t>ADI website on the policies and practices</w:t>
              </w:r>
            </w:hyperlink>
            <w:r w:rsidR="00081E14">
              <w:rPr>
                <w:rFonts w:ascii="Arial" w:hAnsi="Arial" w:cs="Arial"/>
                <w:color w:val="0000FF"/>
                <w:sz w:val="26"/>
                <w:szCs w:val="26"/>
              </w:rPr>
              <w:t xml:space="preserve"> of various divisions of the Fourth Appellate District; and </w:t>
            </w:r>
            <w:hyperlink r:id="rId15" w:history="1">
              <w:r w:rsidR="00081E14" w:rsidRPr="00081E14">
                <w:rPr>
                  <w:rStyle w:val="Hyperlink"/>
                  <w:rFonts w:ascii="Arial" w:hAnsi="Arial" w:cs="Arial"/>
                  <w:sz w:val="26"/>
                  <w:szCs w:val="26"/>
                </w:rPr>
                <w:t>ADI website on California Supreme Court Practice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</w:p>
          <w:p w14:paraId="156DD383" w14:textId="454E9E8F" w:rsidR="006F50B7" w:rsidRPr="00D9497A" w:rsidRDefault="006F50B7">
            <w:pPr>
              <w:ind w:left="840"/>
              <w:rPr>
                <w:rFonts w:ascii="Arial" w:hAnsi="Arial" w:cs="Arial"/>
                <w:sz w:val="26"/>
                <w:szCs w:val="26"/>
              </w:rPr>
            </w:pPr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</w:p>
          <w:p w14:paraId="31580296" w14:textId="77777777" w:rsidR="006F50B7" w:rsidRDefault="006F50B7">
            <w:pPr>
              <w:spacing w:after="38"/>
            </w:pPr>
            <w:r w:rsidRPr="00D9497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14:paraId="689EFFB5" w14:textId="77777777" w:rsidR="006F50B7" w:rsidRDefault="006F50B7" w:rsidP="006F50B7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</w:p>
    <w:p w14:paraId="1CE0859B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77D0C051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1BB5908D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3D87A1FF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1ECE50DE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033EF026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3E730770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04F42DAE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769CC894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48657D0B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20E98CE5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313CA760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0674F974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1E1F40A1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47876CDC" w14:textId="77777777" w:rsidR="00D9497A" w:rsidRDefault="00D9497A" w:rsidP="00FC75DA">
      <w:pPr>
        <w:rPr>
          <w:i/>
          <w:iCs/>
          <w:color w:val="0000FF"/>
          <w:sz w:val="26"/>
          <w:szCs w:val="26"/>
        </w:rPr>
      </w:pPr>
    </w:p>
    <w:p w14:paraId="48FB3D41" w14:textId="77777777" w:rsidR="00FC75DA" w:rsidRDefault="00FC75DA" w:rsidP="00FC75DA">
      <w:pPr>
        <w:rPr>
          <w:i/>
          <w:iCs/>
          <w:color w:val="0000FF"/>
          <w:sz w:val="26"/>
          <w:szCs w:val="26"/>
        </w:rPr>
      </w:pPr>
    </w:p>
    <w:p w14:paraId="00633DD3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24CCA155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56114D95" w14:textId="77777777" w:rsidR="00D9497A" w:rsidRDefault="00D9497A" w:rsidP="006F50B7">
      <w:pPr>
        <w:jc w:val="center"/>
        <w:rPr>
          <w:i/>
          <w:iCs/>
          <w:color w:val="0000FF"/>
          <w:sz w:val="26"/>
          <w:szCs w:val="26"/>
        </w:rPr>
      </w:pPr>
    </w:p>
    <w:p w14:paraId="6746507F" w14:textId="77777777" w:rsidR="00081E14" w:rsidRDefault="00081E14" w:rsidP="006F50B7">
      <w:pPr>
        <w:jc w:val="center"/>
        <w:rPr>
          <w:i/>
          <w:iCs/>
          <w:color w:val="0000FF"/>
          <w:sz w:val="26"/>
          <w:szCs w:val="26"/>
        </w:rPr>
      </w:pPr>
    </w:p>
    <w:p w14:paraId="735827C4" w14:textId="77777777" w:rsidR="00D77CA5" w:rsidRDefault="00D77CA5" w:rsidP="006F50B7">
      <w:pPr>
        <w:jc w:val="center"/>
        <w:rPr>
          <w:i/>
          <w:iCs/>
          <w:color w:val="0000FF"/>
          <w:sz w:val="26"/>
          <w:szCs w:val="26"/>
        </w:rPr>
      </w:pPr>
    </w:p>
    <w:p w14:paraId="305ADF29" w14:textId="77777777" w:rsidR="008C0341" w:rsidRDefault="008C0341" w:rsidP="006F50B7">
      <w:pPr>
        <w:jc w:val="center"/>
        <w:rPr>
          <w:i/>
          <w:iCs/>
          <w:color w:val="0000FF"/>
          <w:sz w:val="26"/>
          <w:szCs w:val="26"/>
        </w:rPr>
      </w:pPr>
    </w:p>
    <w:p w14:paraId="36C4B193" w14:textId="71DFC379" w:rsidR="006F50B7" w:rsidRDefault="006F50B7" w:rsidP="006F50B7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[Letterhead]</w:t>
      </w:r>
    </w:p>
    <w:p w14:paraId="32DD20AE" w14:textId="77777777" w:rsidR="006F50B7" w:rsidRDefault="006F50B7" w:rsidP="006F50B7">
      <w:pPr>
        <w:jc w:val="center"/>
        <w:rPr>
          <w:i/>
          <w:iCs/>
          <w:color w:val="0000FF"/>
          <w:sz w:val="26"/>
          <w:szCs w:val="26"/>
        </w:rPr>
      </w:pPr>
    </w:p>
    <w:p w14:paraId="683B899A" w14:textId="77777777" w:rsidR="006F50B7" w:rsidRDefault="006F50B7" w:rsidP="006F50B7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4F1AC358" w14:textId="77777777" w:rsidR="006F50B7" w:rsidRDefault="006F50B7" w:rsidP="006F50B7">
      <w:pPr>
        <w:jc w:val="center"/>
        <w:rPr>
          <w:i/>
          <w:iCs/>
          <w:sz w:val="26"/>
          <w:szCs w:val="26"/>
        </w:rPr>
      </w:pPr>
    </w:p>
    <w:p w14:paraId="50C4DE1C" w14:textId="77777777" w:rsidR="006F50B7" w:rsidRDefault="006F50B7" w:rsidP="006F50B7">
      <w:pPr>
        <w:rPr>
          <w:i/>
          <w:iCs/>
          <w:sz w:val="26"/>
          <w:szCs w:val="26"/>
        </w:rPr>
      </w:pP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</w:p>
    <w:p w14:paraId="2B89BB87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>Clerk of the Court/Chief Administrator</w:t>
      </w:r>
    </w:p>
    <w:p w14:paraId="5DEBFE56" w14:textId="77777777" w:rsidR="006F50B7" w:rsidRDefault="006F50B7" w:rsidP="006F50B7">
      <w:pPr>
        <w:rPr>
          <w:i/>
          <w:iCs/>
          <w:sz w:val="26"/>
          <w:szCs w:val="26"/>
        </w:rPr>
      </w:pPr>
      <w:r>
        <w:rPr>
          <w:sz w:val="26"/>
          <w:szCs w:val="26"/>
        </w:rPr>
        <w:t>Court of Appeal, Fourth Appellate District, Division</w:t>
      </w:r>
      <w:r>
        <w:rPr>
          <w:i/>
          <w:iCs/>
          <w:color w:val="0000FF"/>
          <w:sz w:val="26"/>
          <w:szCs w:val="26"/>
        </w:rPr>
        <w:t xml:space="preserve"> [One / Two / Three]</w:t>
      </w:r>
    </w:p>
    <w:p w14:paraId="41891058" w14:textId="77777777" w:rsidR="006F50B7" w:rsidRDefault="006F50B7" w:rsidP="006F50B7">
      <w:pPr>
        <w:rPr>
          <w:i/>
          <w:i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4244D769" w14:textId="77777777" w:rsidR="006F50B7" w:rsidRDefault="006F50B7" w:rsidP="006F50B7">
      <w:pPr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</w:p>
    <w:p w14:paraId="6608B002" w14:textId="11744E7E" w:rsidR="006F50B7" w:rsidRDefault="006F50B7" w:rsidP="006F50B7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Re:</w:t>
      </w:r>
      <w:r>
        <w:rPr>
          <w:i/>
          <w:iCs/>
          <w:sz w:val="26"/>
          <w:szCs w:val="26"/>
        </w:rPr>
        <w:tab/>
        <w:t xml:space="preserve">People v. </w:t>
      </w:r>
      <w:r w:rsidR="00BD2FA4">
        <w:rPr>
          <w:i/>
          <w:iCs/>
          <w:color w:val="0000FF"/>
          <w:sz w:val="26"/>
          <w:szCs w:val="26"/>
        </w:rPr>
        <w:t>[defendant’s name]</w:t>
      </w:r>
      <w:r w:rsidR="00BD2FA4">
        <w:rPr>
          <w:color w:val="008000"/>
          <w:sz w:val="26"/>
          <w:szCs w:val="26"/>
        </w:rPr>
        <w:t xml:space="preserve">/ </w:t>
      </w:r>
      <w:r w:rsidR="00BD2FA4">
        <w:rPr>
          <w:i/>
          <w:iCs/>
          <w:color w:val="008000"/>
          <w:sz w:val="26"/>
          <w:szCs w:val="26"/>
        </w:rPr>
        <w:t>In re [first name, last initial]</w:t>
      </w:r>
    </w:p>
    <w:p w14:paraId="765526E6" w14:textId="77777777" w:rsidR="006F50B7" w:rsidRDefault="006F50B7" w:rsidP="006F50B7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  <w:t>Request for More Than 15 Minutes of Oral Argument</w:t>
      </w:r>
    </w:p>
    <w:p w14:paraId="3BC22E28" w14:textId="77777777" w:rsidR="006F50B7" w:rsidRDefault="006F50B7" w:rsidP="006F50B7">
      <w:pPr>
        <w:ind w:left="720"/>
        <w:rPr>
          <w:sz w:val="26"/>
          <w:szCs w:val="26"/>
        </w:rPr>
      </w:pPr>
      <w:r>
        <w:rPr>
          <w:sz w:val="26"/>
          <w:szCs w:val="26"/>
        </w:rPr>
        <w:tab/>
        <w:t>Court of Appeal No.: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[case number] </w:t>
      </w:r>
    </w:p>
    <w:p w14:paraId="23717DE3" w14:textId="20CF806C" w:rsidR="006F50B7" w:rsidRDefault="006F50B7" w:rsidP="006F50B7">
      <w:pPr>
        <w:ind w:left="1440"/>
        <w:rPr>
          <w:sz w:val="26"/>
          <w:szCs w:val="26"/>
        </w:rPr>
      </w:pPr>
      <w:r>
        <w:rPr>
          <w:sz w:val="26"/>
          <w:szCs w:val="26"/>
        </w:rPr>
        <w:t>California Rules of Court, Rule 8.256(c)</w:t>
      </w:r>
      <w:r w:rsidR="00EE2702">
        <w:rPr>
          <w:sz w:val="26"/>
          <w:szCs w:val="26"/>
        </w:rPr>
        <w:t>(2)</w:t>
      </w:r>
    </w:p>
    <w:p w14:paraId="53F740A2" w14:textId="4AC7B919" w:rsidR="006F50B7" w:rsidRDefault="006F50B7" w:rsidP="006F50B7">
      <w:pPr>
        <w:ind w:left="1440"/>
        <w:rPr>
          <w:i/>
          <w:i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[Also cite to any division-specific order</w:t>
      </w:r>
      <w:r w:rsidR="00AA3E65">
        <w:rPr>
          <w:i/>
          <w:iCs/>
          <w:color w:val="0000FF"/>
          <w:sz w:val="26"/>
          <w:szCs w:val="26"/>
        </w:rPr>
        <w:t xml:space="preserve"> on time limit for oral argument</w:t>
      </w:r>
      <w:r w:rsidR="008E6973">
        <w:rPr>
          <w:i/>
          <w:iCs/>
          <w:color w:val="0000FF"/>
          <w:sz w:val="26"/>
          <w:szCs w:val="26"/>
        </w:rPr>
        <w:t>]</w:t>
      </w:r>
    </w:p>
    <w:p w14:paraId="4F777884" w14:textId="77777777" w:rsidR="006F50B7" w:rsidRDefault="006F50B7" w:rsidP="006F50B7">
      <w:pPr>
        <w:rPr>
          <w:sz w:val="26"/>
          <w:szCs w:val="26"/>
        </w:rPr>
      </w:pPr>
    </w:p>
    <w:p w14:paraId="35574ED9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>Dear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  <w:r>
        <w:rPr>
          <w:sz w:val="26"/>
          <w:szCs w:val="26"/>
        </w:rPr>
        <w:t>:</w:t>
      </w:r>
    </w:p>
    <w:p w14:paraId="7178AE13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BB078A" w14:textId="77777777" w:rsidR="006F50B7" w:rsidRDefault="006F50B7" w:rsidP="006F50B7">
      <w:pPr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  <w:t xml:space="preserve">[Under </w:t>
      </w:r>
      <w:r>
        <w:rPr>
          <w:i/>
          <w:iCs/>
          <w:color w:val="0000FF"/>
          <w:sz w:val="26"/>
          <w:szCs w:val="26"/>
        </w:rPr>
        <w:t xml:space="preserve">[Miscellaneous / Standing] </w:t>
      </w:r>
      <w:r>
        <w:rPr>
          <w:sz w:val="26"/>
          <w:szCs w:val="26"/>
        </w:rPr>
        <w:t xml:space="preserve">Order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,</w:t>
      </w:r>
      <w:r w:rsidR="000D4144"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</w:rPr>
        <w:t xml:space="preserve">] counsel requests at least </w:t>
      </w:r>
      <w:r>
        <w:rPr>
          <w:i/>
          <w:iCs/>
          <w:color w:val="0000FF"/>
          <w:sz w:val="26"/>
          <w:szCs w:val="26"/>
        </w:rPr>
        <w:t xml:space="preserve">[insert number requested] </w:t>
      </w:r>
      <w:r>
        <w:rPr>
          <w:sz w:val="26"/>
          <w:szCs w:val="26"/>
        </w:rPr>
        <w:t xml:space="preserve">minutes of oral argument. </w:t>
      </w:r>
    </w:p>
    <w:p w14:paraId="4B1CFDB1" w14:textId="77777777" w:rsidR="006F50B7" w:rsidRDefault="006F50B7" w:rsidP="006F50B7">
      <w:pPr>
        <w:rPr>
          <w:i/>
          <w:iCs/>
          <w:color w:val="0000FF"/>
          <w:sz w:val="26"/>
          <w:szCs w:val="26"/>
        </w:rPr>
      </w:pPr>
    </w:p>
    <w:p w14:paraId="323D50DC" w14:textId="50147E63" w:rsidR="006F50B7" w:rsidRDefault="006F50B7" w:rsidP="006F50B7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 xml:space="preserve">[Explain general need, for example, length of record, number and complexity of issues, severity of sentence, etc.  In Division Two, where a tentative opinion has been issued, generally describe the issues set forth in the tentative opinion.] </w:t>
      </w:r>
    </w:p>
    <w:p w14:paraId="7553CE6D" w14:textId="77777777" w:rsidR="006F50B7" w:rsidRDefault="006F50B7" w:rsidP="006F50B7">
      <w:pPr>
        <w:rPr>
          <w:sz w:val="26"/>
          <w:szCs w:val="26"/>
        </w:rPr>
      </w:pPr>
    </w:p>
    <w:p w14:paraId="2B2328E1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  <w:t>In my professional judgment, the standard time of 15 minutes will be insufficient to address the issues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adequately and protect my client’s basic interests. </w:t>
      </w:r>
    </w:p>
    <w:p w14:paraId="0E012819" w14:textId="77777777" w:rsidR="006F50B7" w:rsidRDefault="006F50B7" w:rsidP="006F50B7">
      <w:pPr>
        <w:rPr>
          <w:sz w:val="26"/>
          <w:szCs w:val="26"/>
        </w:rPr>
      </w:pPr>
    </w:p>
    <w:p w14:paraId="4864B038" w14:textId="1D8AB07F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Good cause exists for the following reasons: </w:t>
      </w:r>
      <w:r>
        <w:rPr>
          <w:i/>
          <w:iCs/>
          <w:color w:val="0000FF"/>
          <w:sz w:val="26"/>
          <w:szCs w:val="26"/>
        </w:rPr>
        <w:t xml:space="preserve">[Explain in greater detail the need for more time for a particular issue.  If a tentative opinion has </w:t>
      </w:r>
      <w:proofErr w:type="gramStart"/>
      <w:r>
        <w:rPr>
          <w:i/>
          <w:iCs/>
          <w:color w:val="0000FF"/>
          <w:sz w:val="26"/>
          <w:szCs w:val="26"/>
        </w:rPr>
        <w:t>issued</w:t>
      </w:r>
      <w:proofErr w:type="gramEnd"/>
      <w:r>
        <w:rPr>
          <w:i/>
          <w:iCs/>
          <w:color w:val="0000FF"/>
          <w:sz w:val="26"/>
          <w:szCs w:val="26"/>
        </w:rPr>
        <w:t>, briefly describe its shortcoming(s) and why more time is necessary. Repeat as necessary for additional issues.]</w:t>
      </w:r>
    </w:p>
    <w:p w14:paraId="1A405593" w14:textId="77777777" w:rsidR="003D0170" w:rsidRDefault="003D0170" w:rsidP="006F50B7">
      <w:pPr>
        <w:rPr>
          <w:sz w:val="26"/>
          <w:szCs w:val="26"/>
        </w:rPr>
      </w:pPr>
    </w:p>
    <w:p w14:paraId="01F584F9" w14:textId="1B904132" w:rsidR="00707280" w:rsidRDefault="006F50B7" w:rsidP="00707280">
      <w:pPr>
        <w:ind w:firstLine="720"/>
        <w:rPr>
          <w:sz w:val="26"/>
          <w:szCs w:val="26"/>
        </w:rPr>
      </w:pPr>
      <w:r>
        <w:rPr>
          <w:sz w:val="26"/>
          <w:szCs w:val="26"/>
        </w:rPr>
        <w:t>For the foregoing reason(s), good cause exists to grant defendant</w:t>
      </w:r>
      <w:r>
        <w:rPr>
          <w:i/>
          <w:iCs/>
          <w:color w:val="0000FF"/>
          <w:sz w:val="26"/>
          <w:szCs w:val="26"/>
        </w:rPr>
        <w:t xml:space="preserve"> [number] </w:t>
      </w:r>
      <w:r>
        <w:rPr>
          <w:sz w:val="26"/>
          <w:szCs w:val="26"/>
        </w:rPr>
        <w:t>minutes of oral argument.</w:t>
      </w:r>
    </w:p>
    <w:p w14:paraId="39267B85" w14:textId="77777777" w:rsidR="00D77CA5" w:rsidRDefault="00D77CA5" w:rsidP="00707280">
      <w:pPr>
        <w:ind w:firstLine="720"/>
        <w:rPr>
          <w:sz w:val="26"/>
          <w:szCs w:val="26"/>
        </w:rPr>
      </w:pPr>
    </w:p>
    <w:p w14:paraId="52963734" w14:textId="6CA1B906" w:rsidR="006F50B7" w:rsidRDefault="00707280" w:rsidP="006F50B7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  <w:t>Respectfully submitted,</w:t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  <w:r w:rsidR="006F50B7">
        <w:rPr>
          <w:sz w:val="26"/>
          <w:szCs w:val="26"/>
        </w:rPr>
        <w:tab/>
      </w:r>
    </w:p>
    <w:p w14:paraId="67D09DF7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49490D9B" w14:textId="77777777" w:rsidR="006F50B7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2D2C092C" w14:textId="77777777" w:rsidR="00D66552" w:rsidRDefault="006F50B7" w:rsidP="006F50B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Attorney for Defendant</w:t>
      </w:r>
      <w:r w:rsidR="00D66552">
        <w:rPr>
          <w:sz w:val="26"/>
          <w:szCs w:val="26"/>
        </w:rPr>
        <w:t xml:space="preserve"> and </w:t>
      </w:r>
    </w:p>
    <w:p w14:paraId="129BDD56" w14:textId="45176289" w:rsidR="006F50B7" w:rsidRDefault="00D66552" w:rsidP="00D66552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>Appellant</w:t>
      </w:r>
      <w:r w:rsidR="006F50B7">
        <w:rPr>
          <w:sz w:val="26"/>
          <w:szCs w:val="26"/>
        </w:rPr>
        <w:t xml:space="preserve"> </w:t>
      </w:r>
      <w:r w:rsidR="006F50B7">
        <w:rPr>
          <w:i/>
          <w:iCs/>
          <w:color w:val="0000FF"/>
          <w:sz w:val="26"/>
          <w:szCs w:val="26"/>
        </w:rPr>
        <w:t>[name]</w:t>
      </w:r>
    </w:p>
    <w:p w14:paraId="0086E08C" w14:textId="77777777" w:rsidR="006F50B7" w:rsidRDefault="006F50B7" w:rsidP="006F50B7">
      <w:pPr>
        <w:jc w:val="center"/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0B5DFB">
        <w:rPr>
          <w:b/>
          <w:bCs/>
          <w:sz w:val="24"/>
          <w:szCs w:val="24"/>
        </w:rPr>
        <w:lastRenderedPageBreak/>
        <w:t>PRO</w:t>
      </w:r>
      <w:r>
        <w:rPr>
          <w:b/>
          <w:bCs/>
          <w:sz w:val="24"/>
          <w:szCs w:val="24"/>
        </w:rPr>
        <w:t>OF OF SERVICE</w:t>
      </w:r>
    </w:p>
    <w:p w14:paraId="51610618" w14:textId="77777777" w:rsidR="00032E96" w:rsidRDefault="006F50B7" w:rsidP="006F50B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32E96" w:rsidSect="005974A0"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3351" w14:textId="77777777" w:rsidR="00D8446E" w:rsidRDefault="00D8446E" w:rsidP="006F50B7">
      <w:r>
        <w:separator/>
      </w:r>
    </w:p>
  </w:endnote>
  <w:endnote w:type="continuationSeparator" w:id="0">
    <w:p w14:paraId="1E38DBAF" w14:textId="77777777" w:rsidR="00D8446E" w:rsidRDefault="00D8446E" w:rsidP="006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27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51382" w14:textId="2A0F5389" w:rsidR="00C948A6" w:rsidRDefault="00C94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0EB92" w14:textId="77777777" w:rsidR="00516CC5" w:rsidRDefault="0051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F4CB" w14:textId="77777777" w:rsidR="00D8446E" w:rsidRDefault="00D8446E" w:rsidP="006F50B7">
      <w:r>
        <w:separator/>
      </w:r>
    </w:p>
  </w:footnote>
  <w:footnote w:type="continuationSeparator" w:id="0">
    <w:p w14:paraId="7647EB24" w14:textId="77777777" w:rsidR="00D8446E" w:rsidRDefault="00D8446E" w:rsidP="006F50B7">
      <w:r>
        <w:continuationSeparator/>
      </w:r>
    </w:p>
  </w:footnote>
  <w:footnote w:id="1">
    <w:p w14:paraId="05315F47" w14:textId="77777777" w:rsidR="00CF63F6" w:rsidRDefault="000D41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FF"/>
          <w:sz w:val="26"/>
          <w:szCs w:val="26"/>
        </w:rPr>
        <w:t>If the case is in Division Three, omit this reference.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B7"/>
    <w:rsid w:val="00015D36"/>
    <w:rsid w:val="00032E96"/>
    <w:rsid w:val="000616E6"/>
    <w:rsid w:val="00081E14"/>
    <w:rsid w:val="000B5DFB"/>
    <w:rsid w:val="000D4144"/>
    <w:rsid w:val="000E4BE3"/>
    <w:rsid w:val="001C45BF"/>
    <w:rsid w:val="00234A79"/>
    <w:rsid w:val="00246155"/>
    <w:rsid w:val="002461D0"/>
    <w:rsid w:val="00254A66"/>
    <w:rsid w:val="002F62B6"/>
    <w:rsid w:val="0032732B"/>
    <w:rsid w:val="003438C4"/>
    <w:rsid w:val="003A306F"/>
    <w:rsid w:val="003A3FAF"/>
    <w:rsid w:val="003B3DFC"/>
    <w:rsid w:val="003D0170"/>
    <w:rsid w:val="00516CC5"/>
    <w:rsid w:val="005974A0"/>
    <w:rsid w:val="006E6153"/>
    <w:rsid w:val="006F50B7"/>
    <w:rsid w:val="00707280"/>
    <w:rsid w:val="007132B9"/>
    <w:rsid w:val="0073717D"/>
    <w:rsid w:val="007520EF"/>
    <w:rsid w:val="007934CE"/>
    <w:rsid w:val="008C0341"/>
    <w:rsid w:val="008E6973"/>
    <w:rsid w:val="009A545B"/>
    <w:rsid w:val="009C125F"/>
    <w:rsid w:val="009D33FC"/>
    <w:rsid w:val="00A23BD9"/>
    <w:rsid w:val="00AA3E65"/>
    <w:rsid w:val="00AE168C"/>
    <w:rsid w:val="00B43EA3"/>
    <w:rsid w:val="00BC4048"/>
    <w:rsid w:val="00BD2FA4"/>
    <w:rsid w:val="00C04D09"/>
    <w:rsid w:val="00C34FD7"/>
    <w:rsid w:val="00C948A6"/>
    <w:rsid w:val="00CF63F6"/>
    <w:rsid w:val="00D0248E"/>
    <w:rsid w:val="00D66552"/>
    <w:rsid w:val="00D77CA5"/>
    <w:rsid w:val="00D8446E"/>
    <w:rsid w:val="00D9497A"/>
    <w:rsid w:val="00EE2702"/>
    <w:rsid w:val="00FC75DA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57680"/>
  <w14:defaultImageDpi w14:val="0"/>
  <w15:docId w15:val="{CD29E026-C637-4B0A-9E45-879FC2E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6F50B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A3E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14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414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14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4F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E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C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i-sandiego.com/legal-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i-sandiego.com/legal-resources/fourth-district-resources/division-two-pract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i-sandiego.com/legal-resources/fourth-district-resources/division-one-practi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di-sandiego.com/legal-resources/general-appellate-practice/supreme-court-practice/" TargetMode="External"/><Relationship Id="rId10" Type="http://schemas.openxmlformats.org/officeDocument/2006/relationships/hyperlink" Target="https://www.adi-sandiego.com/legal-resourc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di-sandiego.com/legal-resources/fourth-distric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C6F2CE21-1E64-4BFF-B855-5C1A43538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406FE-0E23-4E0C-9A51-7B1575514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5114E-C0B1-4644-9D38-BCE920471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40477-102C-4863-B4E0-B3BCFE1E5979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2635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2025-01-09T22:13:00Z</dcterms:created>
  <dcterms:modified xsi:type="dcterms:W3CDTF">2025-01-09T22:13:00Z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