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F2FF" w14:textId="77777777" w:rsidR="00125374" w:rsidRDefault="00FD0915" w:rsidP="00125374">
      <w:pPr>
        <w:ind w:left="720"/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 w:rsidR="00125374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125374" w:rsidRPr="0003371B" w14:paraId="02F8820C" w14:textId="77777777" w:rsidTr="00125374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F7EF" w14:textId="77777777" w:rsidR="00125374" w:rsidRPr="0003371B" w:rsidRDefault="00125374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1B783064" w14:textId="77777777" w:rsidR="00125374" w:rsidRPr="0003371B" w:rsidRDefault="00125374">
            <w:pPr>
              <w:rPr>
                <w:rFonts w:ascii="Arial" w:hAnsi="Arial" w:cs="Arial"/>
                <w:color w:val="0000D6"/>
                <w:sz w:val="26"/>
                <w:szCs w:val="26"/>
              </w:rPr>
            </w:pPr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03371B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6CE53861" w14:textId="77777777" w:rsidR="00125374" w:rsidRDefault="00125374">
            <w:pPr>
              <w:ind w:left="840"/>
              <w:rPr>
                <w:rFonts w:ascii="Arial" w:hAnsi="Arial" w:cs="Arial"/>
                <w:color w:val="0000D6"/>
                <w:sz w:val="26"/>
                <w:szCs w:val="26"/>
              </w:rPr>
            </w:pPr>
          </w:p>
          <w:p w14:paraId="2A983FA3" w14:textId="6A49E370" w:rsidR="0003371B" w:rsidRPr="0003371B" w:rsidRDefault="0003371B" w:rsidP="0003371B">
            <w:pPr>
              <w:ind w:left="840"/>
              <w:jc w:val="center"/>
              <w:rPr>
                <w:rFonts w:ascii="Arial" w:hAnsi="Arial" w:cs="Arial"/>
                <w:i/>
                <w:iCs/>
                <w:color w:val="0000D6"/>
                <w:sz w:val="26"/>
                <w:szCs w:val="26"/>
              </w:rPr>
            </w:pPr>
            <w:r w:rsidRPr="0003371B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RACTICE TIPS</w:t>
            </w:r>
          </w:p>
          <w:p w14:paraId="5544F9E4" w14:textId="77777777" w:rsidR="0003371B" w:rsidRPr="0003371B" w:rsidRDefault="0003371B">
            <w:pPr>
              <w:ind w:left="840"/>
              <w:rPr>
                <w:rFonts w:ascii="Arial" w:hAnsi="Arial" w:cs="Arial"/>
                <w:color w:val="0000D6"/>
                <w:sz w:val="26"/>
                <w:szCs w:val="26"/>
              </w:rPr>
            </w:pPr>
          </w:p>
          <w:p w14:paraId="4934B040" w14:textId="6B0A1AEB" w:rsidR="0003371B" w:rsidRDefault="00125374" w:rsidP="0003371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Various California laws and policies protect certain information from public disclosure in court records. </w:t>
            </w:r>
            <w:r w:rsidR="0003371B">
              <w:rPr>
                <w:rFonts w:ascii="Arial" w:hAnsi="Arial" w:cs="Arial"/>
                <w:bCs/>
                <w:color w:val="0000FF"/>
                <w:sz w:val="26"/>
                <w:szCs w:val="26"/>
              </w:rPr>
              <w:t xml:space="preserve">See </w:t>
            </w:r>
            <w:hyperlink r:id="rId7" w:history="1">
              <w:r w:rsidR="0003371B" w:rsidRPr="00C57FE2">
                <w:rPr>
                  <w:rFonts w:ascii="Arial" w:hAnsi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="0003371B" w:rsidRPr="00C57FE2">
              <w:rPr>
                <w:rFonts w:ascii="Arial" w:hAnsi="Arial"/>
                <w:color w:val="0000FF"/>
                <w:sz w:val="26"/>
                <w:szCs w:val="26"/>
              </w:rPr>
              <w:t>, chapter</w:t>
            </w:r>
            <w:r w:rsidR="0003371B">
              <w:rPr>
                <w:rFonts w:ascii="Arial" w:hAnsi="Arial"/>
                <w:color w:val="0000FF"/>
                <w:sz w:val="26"/>
                <w:szCs w:val="26"/>
              </w:rPr>
              <w:t xml:space="preserve"> 3</w:t>
            </w:r>
            <w:r w:rsidR="0003371B" w:rsidRPr="00C57FE2">
              <w:rPr>
                <w:rFonts w:ascii="Arial" w:hAnsi="Arial"/>
                <w:color w:val="0000FF"/>
                <w:sz w:val="26"/>
                <w:szCs w:val="26"/>
              </w:rPr>
              <w:t>, section</w:t>
            </w:r>
            <w:r w:rsidR="0003371B">
              <w:rPr>
                <w:rFonts w:ascii="Arial" w:hAnsi="Arial"/>
                <w:color w:val="0000FF"/>
                <w:sz w:val="26"/>
                <w:szCs w:val="26"/>
              </w:rPr>
              <w:t xml:space="preserve"> 3.2.4.5</w:t>
            </w:r>
            <w:r w:rsidR="0003371B"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>;</w:t>
            </w:r>
            <w:r w:rsidR="0003371B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 </w:t>
            </w:r>
            <w:hyperlink r:id="rId8" w:history="1">
              <w:r w:rsidR="0003371B" w:rsidRPr="003E02DD">
                <w:rPr>
                  <w:rStyle w:val="Hyperlink"/>
                  <w:rFonts w:ascii="Arial" w:eastAsia="Calibri" w:hAnsi="Arial" w:cs="Arial"/>
                  <w:sz w:val="26"/>
                  <w:szCs w:val="26"/>
                </w:rPr>
                <w:t>ADI’s Motion Practice Guide</w:t>
              </w:r>
            </w:hyperlink>
            <w:r w:rsidR="0003371B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, section </w:t>
            </w:r>
            <w:r w:rsidR="0003371B" w:rsidRPr="00C57FE2">
              <w:rPr>
                <w:rFonts w:ascii="Arial" w:hAnsi="Arial" w:cs="Arial"/>
                <w:color w:val="0000FF"/>
                <w:sz w:val="26"/>
                <w:szCs w:val="26"/>
              </w:rPr>
              <w:t>II.</w:t>
            </w:r>
            <w:r w:rsidR="0003371B">
              <w:rPr>
                <w:rFonts w:ascii="Arial" w:hAnsi="Arial" w:cs="Arial"/>
                <w:color w:val="0000FF"/>
                <w:sz w:val="26"/>
                <w:szCs w:val="26"/>
              </w:rPr>
              <w:t>B</w:t>
            </w:r>
            <w:r w:rsidR="0003371B" w:rsidRPr="00C57FE2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 w:rsid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1; </w:t>
            </w:r>
            <w:hyperlink r:id="rId9" w:history="1">
              <w:r w:rsidR="0003371B" w:rsidRPr="003E02DD">
                <w:rPr>
                  <w:rStyle w:val="Hyperlink"/>
                  <w:rFonts w:ascii="Arial" w:hAnsi="Arial" w:cs="Arial"/>
                  <w:sz w:val="26"/>
                  <w:szCs w:val="26"/>
                </w:rPr>
                <w:t>Confidential Records - Appellate Defenders, Inc. (adi-sandiego.com)</w:t>
              </w:r>
            </w:hyperlink>
            <w:r w:rsid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; </w:t>
            </w:r>
            <w:r w:rsidR="0003371B" w:rsidRPr="003E02DD">
              <w:rPr>
                <w:rFonts w:ascii="Arial" w:hAnsi="Arial" w:cs="Arial"/>
                <w:color w:val="0000FF"/>
                <w:sz w:val="26"/>
                <w:szCs w:val="26"/>
                <w:lang w:val="en-CA"/>
              </w:rPr>
              <w:fldChar w:fldCharType="begin"/>
            </w:r>
            <w:r w:rsidR="0003371B" w:rsidRPr="003E02DD">
              <w:rPr>
                <w:rFonts w:ascii="Arial" w:hAnsi="Arial" w:cs="Arial"/>
                <w:color w:val="0000FF"/>
                <w:sz w:val="26"/>
                <w:szCs w:val="26"/>
                <w:lang w:val="en-CA"/>
              </w:rPr>
              <w:instrText xml:space="preserve"> SEQ CHAPTER \h \r 1</w:instrText>
            </w:r>
            <w:r w:rsidR="0003371B" w:rsidRPr="003E02DD">
              <w:rPr>
                <w:rFonts w:ascii="Arial" w:hAnsi="Arial" w:cs="Arial"/>
                <w:color w:val="0000FF"/>
                <w:sz w:val="26"/>
                <w:szCs w:val="26"/>
              </w:rPr>
              <w:fldChar w:fldCharType="end"/>
            </w:r>
            <w:r w:rsidR="0003371B" w:rsidRPr="003E02DD">
              <w:rPr>
                <w:rFonts w:ascii="Arial" w:hAnsi="Arial" w:cs="Arial"/>
                <w:color w:val="0000FF"/>
                <w:sz w:val="26"/>
                <w:szCs w:val="26"/>
              </w:rPr>
              <w:t>Cal. Style Manual (4</w:t>
            </w:r>
            <w:r w:rsidR="0003371B" w:rsidRPr="003E02DD">
              <w:rPr>
                <w:rFonts w:ascii="Arial" w:hAnsi="Arial" w:cs="Arial"/>
                <w:color w:val="0000FF"/>
                <w:sz w:val="26"/>
                <w:szCs w:val="26"/>
                <w:vertAlign w:val="superscript"/>
              </w:rPr>
              <w:t>th</w:t>
            </w:r>
            <w:r w:rsidR="0003371B" w:rsidRPr="003E02DD">
              <w:rPr>
                <w:rFonts w:ascii="Arial" w:hAnsi="Arial" w:cs="Arial"/>
                <w:color w:val="0000FF"/>
                <w:sz w:val="26"/>
                <w:szCs w:val="26"/>
              </w:rPr>
              <w:t xml:space="preserve"> ed. 2000) §§ 5.9-5.10</w:t>
            </w:r>
            <w:r w:rsidR="00167ABC">
              <w:rPr>
                <w:rFonts w:ascii="Arial" w:hAnsi="Arial" w:cs="Arial"/>
                <w:color w:val="0000FF"/>
                <w:sz w:val="26"/>
                <w:szCs w:val="26"/>
              </w:rPr>
              <w:t>, 5.12</w:t>
            </w:r>
            <w:r w:rsidR="0003371B" w:rsidRPr="003E02DD">
              <w:rPr>
                <w:rFonts w:ascii="Arial" w:hAnsi="Arial" w:cs="Arial"/>
                <w:color w:val="0000FF"/>
                <w:sz w:val="26"/>
                <w:szCs w:val="26"/>
              </w:rPr>
              <w:t xml:space="preserve"> [sets forth Cal. Supreme Court policy regarding nondisclosure of victim, minor, jurors, etc.].)</w:t>
            </w:r>
          </w:p>
          <w:p w14:paraId="79C6C471" w14:textId="77777777" w:rsidR="0003371B" w:rsidRDefault="0003371B" w:rsidP="0003371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32F8D652" w14:textId="224B237A" w:rsidR="0003371B" w:rsidRDefault="0003371B" w:rsidP="0003371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>B</w:t>
            </w:r>
            <w:r w:rsidR="00125374" w:rsidRP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e aware that confidential information may be revealed in audio portions of the record, as well as written transcripts. </w:t>
            </w:r>
          </w:p>
          <w:p w14:paraId="1360D477" w14:textId="77777777" w:rsidR="0003371B" w:rsidRDefault="0003371B" w:rsidP="0003371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26780870" w14:textId="0F42DE8F" w:rsidR="00125374" w:rsidRPr="0003371B" w:rsidRDefault="00125374" w:rsidP="0003371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>Identity may be compromised in other ways than disclosure of an individual’s name. If the full name of a family member with the same last name is given, for example, or other identifying information is provided, some members of the public may be able to identify the protected person.</w:t>
            </w:r>
          </w:p>
          <w:p w14:paraId="65E864C3" w14:textId="77777777" w:rsidR="00125374" w:rsidRPr="0003371B" w:rsidRDefault="00125374">
            <w:pPr>
              <w:ind w:left="84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1F6E6FE6" w14:textId="77777777" w:rsidR="00125374" w:rsidRPr="0003371B" w:rsidRDefault="00125374" w:rsidP="0003371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>Even if the information cannot be redacted from the entirety of the record, it should be minimized. (See Cal. Rules of Court, rule 8.401(a)(3).)</w:t>
            </w:r>
          </w:p>
          <w:p w14:paraId="6AC782F9" w14:textId="77777777" w:rsidR="00125374" w:rsidRPr="0003371B" w:rsidRDefault="00125374">
            <w:pPr>
              <w:spacing w:after="38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2A1B5F1" w14:textId="77777777" w:rsidR="00125374" w:rsidRPr="0003371B" w:rsidRDefault="00125374" w:rsidP="00125374">
      <w:pPr>
        <w:rPr>
          <w:rFonts w:ascii="Arial" w:hAnsi="Arial" w:cs="Arial"/>
          <w:color w:val="0000FF"/>
          <w:sz w:val="26"/>
          <w:szCs w:val="26"/>
        </w:rPr>
      </w:pPr>
    </w:p>
    <w:p w14:paraId="5F3B936E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40065BE4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520AACC4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5D3558CC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2542EC7C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5B81B17C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47AE024B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412C237F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0D7819D8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101620BE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7033F2C9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5E937B0F" w14:textId="77777777" w:rsidR="0003371B" w:rsidRDefault="0003371B" w:rsidP="00125374">
      <w:pPr>
        <w:jc w:val="center"/>
        <w:rPr>
          <w:i/>
          <w:iCs/>
          <w:color w:val="0000FF"/>
          <w:sz w:val="26"/>
          <w:szCs w:val="26"/>
        </w:rPr>
      </w:pPr>
    </w:p>
    <w:p w14:paraId="60CD9F24" w14:textId="13F5FA64" w:rsidR="00125374" w:rsidRDefault="00125374" w:rsidP="00125374">
      <w:pPr>
        <w:jc w:val="center"/>
        <w:rPr>
          <w:rFonts w:ascii="TmsRmn 8pt" w:hAnsi="TmsRmn 8pt" w:cs="TmsRmn 8pt"/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[Letterhead]</w:t>
      </w:r>
    </w:p>
    <w:p w14:paraId="4B5F0896" w14:textId="77777777" w:rsidR="00125374" w:rsidRDefault="00125374" w:rsidP="00125374">
      <w:pPr>
        <w:jc w:val="center"/>
        <w:rPr>
          <w:rFonts w:ascii="TmsRmn 8pt" w:hAnsi="TmsRmn 8pt" w:cs="TmsRmn 8pt"/>
          <w:i/>
          <w:iCs/>
          <w:color w:val="0000FF"/>
          <w:sz w:val="26"/>
          <w:szCs w:val="26"/>
        </w:rPr>
      </w:pPr>
    </w:p>
    <w:p w14:paraId="17D93A89" w14:textId="77777777" w:rsidR="00125374" w:rsidRDefault="00125374" w:rsidP="00125374">
      <w:pPr>
        <w:jc w:val="center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[Date]</w:t>
      </w:r>
    </w:p>
    <w:p w14:paraId="03A75DA9" w14:textId="77777777" w:rsidR="00125374" w:rsidRDefault="00125374" w:rsidP="00125374">
      <w:pPr>
        <w:rPr>
          <w:i/>
          <w:iCs/>
          <w:color w:val="0000FF"/>
          <w:sz w:val="26"/>
          <w:szCs w:val="26"/>
        </w:rPr>
      </w:pPr>
    </w:p>
    <w:p w14:paraId="46C0BF3C" w14:textId="77777777" w:rsidR="00125374" w:rsidRDefault="00125374" w:rsidP="00125374">
      <w:pPr>
        <w:rPr>
          <w:i/>
          <w:iCs/>
          <w:sz w:val="26"/>
          <w:szCs w:val="26"/>
        </w:rPr>
      </w:pPr>
      <w:r>
        <w:rPr>
          <w:sz w:val="26"/>
          <w:szCs w:val="26"/>
        </w:rPr>
        <w:t>[Mr./Ms.]</w:t>
      </w:r>
      <w:r>
        <w:rPr>
          <w:i/>
          <w:iCs/>
          <w:color w:val="0000FF"/>
          <w:sz w:val="26"/>
          <w:szCs w:val="26"/>
        </w:rPr>
        <w:t xml:space="preserve"> [Court of Appeal clerk’s name]</w:t>
      </w:r>
    </w:p>
    <w:p w14:paraId="6B754C64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>Clerk of the Court/Chief Administrator</w:t>
      </w:r>
    </w:p>
    <w:p w14:paraId="0E00923D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 xml:space="preserve">Court of Appeal, Fourth Appellate District, Division </w:t>
      </w:r>
      <w:r>
        <w:rPr>
          <w:i/>
          <w:iCs/>
          <w:color w:val="0000FF"/>
          <w:sz w:val="26"/>
          <w:szCs w:val="26"/>
        </w:rPr>
        <w:t>[One / Two / Three]</w:t>
      </w:r>
    </w:p>
    <w:p w14:paraId="46F6F604" w14:textId="77777777" w:rsidR="00125374" w:rsidRDefault="00125374" w:rsidP="00125374">
      <w:pPr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[Address]</w:t>
      </w:r>
    </w:p>
    <w:p w14:paraId="0B48D8B7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04AE8F1E" w14:textId="5554922D" w:rsidR="00125374" w:rsidRDefault="00125374" w:rsidP="00125374">
      <w:pPr>
        <w:tabs>
          <w:tab w:val="left" w:pos="720"/>
          <w:tab w:val="left" w:pos="1440"/>
        </w:tabs>
        <w:ind w:left="1440" w:hanging="144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  <w:t>Re: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ab/>
        <w:t>People v</w:t>
      </w:r>
      <w:r>
        <w:rPr>
          <w:sz w:val="26"/>
          <w:szCs w:val="26"/>
        </w:rPr>
        <w:t xml:space="preserve">. </w:t>
      </w:r>
      <w:r>
        <w:rPr>
          <w:i/>
          <w:iCs/>
          <w:color w:val="0000FF"/>
          <w:sz w:val="26"/>
          <w:szCs w:val="26"/>
        </w:rPr>
        <w:t>[defendant’s name]</w:t>
      </w:r>
      <w:r>
        <w:rPr>
          <w:color w:val="008000"/>
          <w:sz w:val="26"/>
          <w:szCs w:val="26"/>
        </w:rPr>
        <w:t xml:space="preserve">/ </w:t>
      </w:r>
      <w:r>
        <w:rPr>
          <w:i/>
          <w:iCs/>
          <w:color w:val="008000"/>
          <w:sz w:val="26"/>
          <w:szCs w:val="26"/>
        </w:rPr>
        <w:t>In re [first name, last initial]</w:t>
      </w:r>
    </w:p>
    <w:p w14:paraId="37B532F0" w14:textId="77777777" w:rsidR="00125374" w:rsidRDefault="00125374" w:rsidP="00125374">
      <w:pPr>
        <w:tabs>
          <w:tab w:val="left" w:pos="720"/>
          <w:tab w:val="left" w:pos="1440"/>
        </w:tabs>
        <w:ind w:left="1440" w:hanging="14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Superior Court No.</w:t>
      </w:r>
      <w:proofErr w:type="gramStart"/>
      <w:r>
        <w:rPr>
          <w:sz w:val="26"/>
          <w:szCs w:val="26"/>
        </w:rPr>
        <w:t xml:space="preserve">:  </w:t>
      </w:r>
      <w:r>
        <w:rPr>
          <w:i/>
          <w:iCs/>
          <w:color w:val="0000FF"/>
          <w:sz w:val="26"/>
          <w:szCs w:val="26"/>
        </w:rPr>
        <w:t>[</w:t>
      </w:r>
      <w:proofErr w:type="gramEnd"/>
      <w:r>
        <w:rPr>
          <w:i/>
          <w:iCs/>
          <w:color w:val="0000FF"/>
          <w:sz w:val="26"/>
          <w:szCs w:val="26"/>
        </w:rPr>
        <w:t>case number]</w:t>
      </w:r>
    </w:p>
    <w:p w14:paraId="3D6FEE24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Court of Appeal No.: </w:t>
      </w:r>
      <w:r>
        <w:rPr>
          <w:i/>
          <w:iCs/>
          <w:color w:val="0000FF"/>
          <w:sz w:val="26"/>
          <w:szCs w:val="26"/>
        </w:rPr>
        <w:t>[case number]</w:t>
      </w:r>
    </w:p>
    <w:p w14:paraId="0A0FA376" w14:textId="77777777" w:rsidR="00125374" w:rsidRDefault="00125374" w:rsidP="00125374">
      <w:pPr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 </w:t>
      </w:r>
    </w:p>
    <w:p w14:paraId="14FEAB2E" w14:textId="77777777" w:rsidR="00125374" w:rsidRDefault="00125374" w:rsidP="00125374">
      <w:pPr>
        <w:ind w:left="1440"/>
        <w:rPr>
          <w:sz w:val="26"/>
          <w:szCs w:val="26"/>
        </w:rPr>
      </w:pPr>
      <w:r>
        <w:rPr>
          <w:sz w:val="26"/>
          <w:szCs w:val="26"/>
        </w:rPr>
        <w:t>Penal Code, § 293.5; California Rules of Court, rules 8.155(c)(1), 8.340(c)</w:t>
      </w:r>
    </w:p>
    <w:p w14:paraId="08F9B7DD" w14:textId="77777777" w:rsidR="00125374" w:rsidRDefault="00125374" w:rsidP="00125374">
      <w:pPr>
        <w:tabs>
          <w:tab w:val="left" w:pos="720"/>
          <w:tab w:val="left" w:pos="1440"/>
        </w:tabs>
        <w:ind w:left="1440" w:hanging="1440"/>
        <w:rPr>
          <w:color w:val="0000FF"/>
          <w:sz w:val="26"/>
          <w:szCs w:val="26"/>
        </w:rPr>
      </w:pP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sz w:val="26"/>
          <w:szCs w:val="26"/>
          <w:u w:val="single"/>
        </w:rPr>
        <w:t>Redaction of Protected Information</w:t>
      </w:r>
      <w:r>
        <w:rPr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</w:t>
      </w:r>
      <w:proofErr w:type="gramStart"/>
      <w:r>
        <w:rPr>
          <w:i/>
          <w:iCs/>
          <w:color w:val="0000FF"/>
          <w:sz w:val="26"/>
          <w:szCs w:val="26"/>
        </w:rPr>
        <w:t>specify:</w:t>
      </w:r>
      <w:proofErr w:type="gramEnd"/>
      <w:r>
        <w:rPr>
          <w:i/>
          <w:iCs/>
          <w:color w:val="0000FF"/>
          <w:sz w:val="26"/>
          <w:szCs w:val="26"/>
        </w:rPr>
        <w:t xml:space="preserve"> victim/other protected person identity or other information]</w:t>
      </w:r>
    </w:p>
    <w:p w14:paraId="6F0F5CF1" w14:textId="77777777" w:rsidR="00125374" w:rsidRDefault="00125374" w:rsidP="00125374">
      <w:pPr>
        <w:tabs>
          <w:tab w:val="left" w:pos="720"/>
          <w:tab w:val="left" w:pos="1440"/>
        </w:tabs>
        <w:ind w:left="1440" w:hanging="72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</w:t>
      </w:r>
      <w:r>
        <w:rPr>
          <w:color w:val="0000FF"/>
          <w:sz w:val="24"/>
          <w:szCs w:val="24"/>
        </w:rPr>
        <w:tab/>
      </w:r>
    </w:p>
    <w:p w14:paraId="3B6D8A94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>Dear [Mr./Ms.]</w:t>
      </w:r>
      <w:r>
        <w:rPr>
          <w:i/>
          <w:iCs/>
          <w:color w:val="0000FF"/>
          <w:sz w:val="26"/>
          <w:szCs w:val="26"/>
        </w:rPr>
        <w:t xml:space="preserve"> [Court of Appeal clerk’s name]</w:t>
      </w:r>
      <w:r>
        <w:rPr>
          <w:sz w:val="26"/>
          <w:szCs w:val="26"/>
        </w:rPr>
        <w:t>:</w:t>
      </w:r>
    </w:p>
    <w:p w14:paraId="746A2182" w14:textId="77777777" w:rsidR="00125374" w:rsidRDefault="00125374" w:rsidP="00125374">
      <w:pPr>
        <w:rPr>
          <w:sz w:val="26"/>
          <w:szCs w:val="26"/>
        </w:rPr>
      </w:pPr>
    </w:p>
    <w:p w14:paraId="26947EF3" w14:textId="7BD62C50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As counsel for defendant in this case, I am calling to the court’s attention violations of California’s Nondisclosure of Identity policy in the appellate transcript.  (Cal. Style Manual (4th ed. 2000) § 5.9 et seq.) That policy protects against disclosure of personal identifying information of certain persons, such as living victims of sex crimes, minors innocently involved in court proceedings, LPS </w:t>
      </w:r>
      <w:proofErr w:type="spellStart"/>
      <w:r>
        <w:rPr>
          <w:sz w:val="26"/>
          <w:szCs w:val="26"/>
        </w:rPr>
        <w:t>conservatees</w:t>
      </w:r>
      <w:proofErr w:type="spellEnd"/>
      <w:r>
        <w:rPr>
          <w:sz w:val="26"/>
          <w:szCs w:val="26"/>
        </w:rPr>
        <w:t>, trial jurors</w:t>
      </w:r>
      <w:r w:rsidR="002E534E">
        <w:rPr>
          <w:sz w:val="26"/>
          <w:szCs w:val="26"/>
        </w:rPr>
        <w:t>,</w:t>
      </w:r>
      <w:r>
        <w:rPr>
          <w:sz w:val="26"/>
          <w:szCs w:val="26"/>
        </w:rPr>
        <w:t xml:space="preserve"> sworn alternate jurors, and some victims and witnesses in criminal matters.  (</w:t>
      </w:r>
      <w:r>
        <w:rPr>
          <w:i/>
          <w:iCs/>
          <w:sz w:val="26"/>
          <w:szCs w:val="26"/>
        </w:rPr>
        <w:t>Ibid</w:t>
      </w:r>
      <w:r>
        <w:rPr>
          <w:sz w:val="26"/>
          <w:szCs w:val="26"/>
        </w:rPr>
        <w:t xml:space="preserve">.; see also Pen. Code, § 293.5.) </w:t>
      </w:r>
    </w:p>
    <w:p w14:paraId="29D6FA88" w14:textId="77777777" w:rsidR="00125374" w:rsidRDefault="00125374" w:rsidP="00125374">
      <w:pPr>
        <w:rPr>
          <w:sz w:val="26"/>
          <w:szCs w:val="26"/>
        </w:rPr>
      </w:pPr>
    </w:p>
    <w:p w14:paraId="37560D79" w14:textId="77777777" w:rsidR="00125374" w:rsidRDefault="00125374" w:rsidP="00125374">
      <w:pPr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 xml:space="preserve">[Describe type of violation. E.g.: identity of victim, minors, LPS </w:t>
      </w:r>
      <w:proofErr w:type="spellStart"/>
      <w:r>
        <w:rPr>
          <w:i/>
          <w:iCs/>
          <w:color w:val="0000FF"/>
          <w:sz w:val="26"/>
          <w:szCs w:val="26"/>
        </w:rPr>
        <w:t>conservatee</w:t>
      </w:r>
      <w:proofErr w:type="spellEnd"/>
      <w:r>
        <w:rPr>
          <w:i/>
          <w:iCs/>
          <w:color w:val="0000FF"/>
          <w:sz w:val="26"/>
          <w:szCs w:val="26"/>
        </w:rPr>
        <w:t>, etc. Provide citations to pages of record where violations occur.  Indicate where, if applicable, multiple violations occur on the same page.  If other than disclosure of a name, describe how the transcript contents can compromise anonymity.]</w:t>
      </w:r>
    </w:p>
    <w:p w14:paraId="7B4F9B2B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800B403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Counsel seeks the court’s guidance as to how the present record is to be redacted </w:t>
      </w:r>
      <w:proofErr w:type="gramStart"/>
      <w:r>
        <w:rPr>
          <w:sz w:val="26"/>
          <w:szCs w:val="26"/>
        </w:rPr>
        <w:t>so as to</w:t>
      </w:r>
      <w:proofErr w:type="gramEnd"/>
      <w:r>
        <w:rPr>
          <w:sz w:val="26"/>
          <w:szCs w:val="26"/>
        </w:rPr>
        <w:t xml:space="preserve"> eliminate references to the </w:t>
      </w:r>
      <w:r>
        <w:rPr>
          <w:i/>
          <w:iCs/>
          <w:color w:val="0000FF"/>
          <w:sz w:val="26"/>
          <w:szCs w:val="26"/>
        </w:rPr>
        <w:t>[identifying information]</w:t>
      </w:r>
      <w:r>
        <w:rPr>
          <w:sz w:val="26"/>
          <w:szCs w:val="26"/>
        </w:rPr>
        <w:t xml:space="preserve">. (See Cal. Rules of Court, rules 8.155(c)(1), 8.340(c).) </w:t>
      </w:r>
    </w:p>
    <w:p w14:paraId="0E06A671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302BFE3D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</w:p>
    <w:p w14:paraId="22C5450D" w14:textId="77777777" w:rsidR="00125374" w:rsidRDefault="00125374" w:rsidP="00125374">
      <w:pPr>
        <w:rPr>
          <w:sz w:val="26"/>
          <w:szCs w:val="26"/>
        </w:rPr>
      </w:pPr>
    </w:p>
    <w:p w14:paraId="04F6C3DD" w14:textId="77777777" w:rsidR="00125374" w:rsidRDefault="00125374" w:rsidP="0012537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</w:t>
      </w:r>
    </w:p>
    <w:p w14:paraId="09C4BB59" w14:textId="77777777" w:rsidR="00125374" w:rsidRDefault="00125374" w:rsidP="00125374">
      <w:pPr>
        <w:rPr>
          <w:b/>
          <w:b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5B53F270" w14:textId="4C35FAE7" w:rsidR="00125374" w:rsidRDefault="00125374" w:rsidP="00125374">
      <w:pPr>
        <w:ind w:left="4320"/>
        <w:rPr>
          <w:sz w:val="26"/>
          <w:szCs w:val="26"/>
        </w:rPr>
      </w:pPr>
      <w:r>
        <w:rPr>
          <w:sz w:val="26"/>
          <w:szCs w:val="26"/>
        </w:rPr>
        <w:t>Attorney for Defendant</w:t>
      </w:r>
      <w:r w:rsidR="002E534E">
        <w:rPr>
          <w:sz w:val="26"/>
          <w:szCs w:val="26"/>
        </w:rPr>
        <w:t xml:space="preserve"> and Appellant</w:t>
      </w:r>
      <w:r>
        <w:rPr>
          <w:b/>
          <w:bCs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3E8899DD" w14:textId="77777777" w:rsidR="00125374" w:rsidRDefault="00125374" w:rsidP="00125374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PROOF OF SERVICE</w:t>
      </w:r>
    </w:p>
    <w:p w14:paraId="198391B3" w14:textId="77777777" w:rsidR="00F32F23" w:rsidRDefault="00F32F23"/>
    <w:sectPr w:rsidR="00F32F23" w:rsidSect="00125374">
      <w:pgSz w:w="12240" w:h="15840"/>
      <w:pgMar w:top="135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8p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74"/>
    <w:rsid w:val="0003371B"/>
    <w:rsid w:val="00125374"/>
    <w:rsid w:val="00167ABC"/>
    <w:rsid w:val="002E534E"/>
    <w:rsid w:val="00404250"/>
    <w:rsid w:val="004C5970"/>
    <w:rsid w:val="00847CD6"/>
    <w:rsid w:val="00AE2726"/>
    <w:rsid w:val="00BA60BA"/>
    <w:rsid w:val="00C36E92"/>
    <w:rsid w:val="00C96776"/>
    <w:rsid w:val="00F32F23"/>
    <w:rsid w:val="00F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1998"/>
  <w15:docId w15:val="{FC7FEE98-72EC-4A51-8EB1-6C083790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337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-sandiego.com/legal-resource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adi-sandiego.com/panel/manual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di-sandiego.com/legal-resources/general-appellate-practice/confidential-reco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95355-928e-4dc9-980f-3f2f33915f2a" xsi:nil="true"/>
    <lcf76f155ced4ddcb4097134ff3c332f xmlns="f4dac925-7028-414e-af00-f19d28de396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67F15-B58B-4F34-A849-2780120DD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0F780-517B-4ADA-B2FB-5E54565086BB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  <ds:schemaRef ds:uri="8bc7ac62-3e57-459f-adfd-0e98e8f51eb7"/>
  </ds:schemaRefs>
</ds:datastoreItem>
</file>

<file path=customXml/itemProps3.xml><?xml version="1.0" encoding="utf-8"?>
<ds:datastoreItem xmlns:ds="http://schemas.openxmlformats.org/officeDocument/2006/customXml" ds:itemID="{28A0A720-884A-443B-9D01-92D6EBC5F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2024-11-13T19:53:00Z</dcterms:created>
  <dcterms:modified xsi:type="dcterms:W3CDTF">2024-11-13T19:53:00Z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